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0C7" w:rsidRPr="00077C93" w:rsidRDefault="007320C7" w:rsidP="007320C7">
      <w:pPr>
        <w:keepNext/>
        <w:keepLines/>
        <w:jc w:val="center"/>
        <w:outlineLvl w:val="0"/>
        <w:rPr>
          <w:b/>
          <w:bCs/>
        </w:rPr>
      </w:pPr>
      <w:bookmarkStart w:id="0" w:name="_Toc378081859"/>
      <w:bookmarkStart w:id="1" w:name="_Toc378082088"/>
      <w:bookmarkStart w:id="2" w:name="_Toc383528576"/>
      <w:bookmarkStart w:id="3" w:name="_Toc383528588"/>
      <w:bookmarkStart w:id="4" w:name="_Toc383528913"/>
      <w:bookmarkStart w:id="5" w:name="_Toc383528931"/>
      <w:bookmarkStart w:id="6" w:name="_Toc383529229"/>
      <w:bookmarkStart w:id="7" w:name="_Toc5444813"/>
      <w:r w:rsidRPr="00077C93">
        <w:rPr>
          <w:b/>
          <w:bCs/>
        </w:rPr>
        <w:t xml:space="preserve">ПАСПОРТ УСЛУГИ (ПРОЦЕССА) </w:t>
      </w:r>
      <w:r w:rsidR="005E0BA4">
        <w:rPr>
          <w:b/>
          <w:bCs/>
        </w:rPr>
        <w:t>ООО «Нижегородская электросетевая компания»</w:t>
      </w:r>
    </w:p>
    <w:p w:rsidR="00BA29D9" w:rsidRPr="00E52099" w:rsidRDefault="00BA29D9" w:rsidP="00471F66">
      <w:pPr>
        <w:pStyle w:val="1"/>
        <w:tabs>
          <w:tab w:val="left" w:pos="0"/>
        </w:tabs>
        <w:spacing w:before="240"/>
        <w:ind w:left="709"/>
        <w:jc w:val="center"/>
        <w:rPr>
          <w:rFonts w:ascii="Times New Roman" w:hAnsi="Times New Roman"/>
          <w:color w:val="auto"/>
          <w:sz w:val="26"/>
          <w:szCs w:val="26"/>
          <w:lang w:val="ru-RU"/>
        </w:rPr>
      </w:pPr>
      <w:bookmarkStart w:id="8" w:name="_Toc378081923"/>
      <w:bookmarkStart w:id="9" w:name="_Toc378082152"/>
      <w:bookmarkStart w:id="10" w:name="_Toc383528936"/>
      <w:bookmarkStart w:id="11" w:name="_Toc383529234"/>
      <w:bookmarkStart w:id="12" w:name="_Toc5444817"/>
      <w:bookmarkEnd w:id="0"/>
      <w:bookmarkEnd w:id="1"/>
      <w:bookmarkEnd w:id="2"/>
      <w:bookmarkEnd w:id="3"/>
      <w:bookmarkEnd w:id="4"/>
      <w:bookmarkEnd w:id="5"/>
      <w:bookmarkEnd w:id="6"/>
      <w:bookmarkEnd w:id="7"/>
      <w:r w:rsidRPr="00CF4E08">
        <w:rPr>
          <w:rFonts w:ascii="Times New Roman" w:hAnsi="Times New Roman"/>
          <w:color w:val="auto"/>
          <w:sz w:val="26"/>
          <w:szCs w:val="26"/>
        </w:rPr>
        <w:t xml:space="preserve">Технологическое присоединение </w:t>
      </w:r>
      <w:proofErr w:type="spellStart"/>
      <w:r w:rsidRPr="00CF4E08">
        <w:rPr>
          <w:rFonts w:ascii="Times New Roman" w:hAnsi="Times New Roman"/>
          <w:color w:val="auto"/>
          <w:sz w:val="26"/>
          <w:szCs w:val="26"/>
        </w:rPr>
        <w:t>энергопринимающих</w:t>
      </w:r>
      <w:proofErr w:type="spellEnd"/>
      <w:r w:rsidRPr="00CF4E08">
        <w:rPr>
          <w:rFonts w:ascii="Times New Roman" w:hAnsi="Times New Roman"/>
          <w:color w:val="auto"/>
          <w:sz w:val="26"/>
          <w:szCs w:val="26"/>
        </w:rPr>
        <w:t xml:space="preserve"> устройств посредством перераспределения максимальной мощности в пределах действия соответствующего центра питания</w:t>
      </w:r>
      <w:bookmarkEnd w:id="8"/>
      <w:bookmarkEnd w:id="9"/>
      <w:bookmarkEnd w:id="10"/>
      <w:bookmarkEnd w:id="11"/>
      <w:bookmarkEnd w:id="12"/>
    </w:p>
    <w:p w:rsidR="00CE629D" w:rsidRDefault="00CE629D" w:rsidP="00CE629D">
      <w:pPr>
        <w:spacing w:before="120"/>
        <w:ind w:firstLine="567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Круг заявителей: </w:t>
      </w:r>
      <w:r>
        <w:rPr>
          <w:sz w:val="26"/>
          <w:szCs w:val="26"/>
        </w:rPr>
        <w:t>физическое лицо, юридическое лицо или индивидуальный предприниматель.</w:t>
      </w:r>
    </w:p>
    <w:p w:rsidR="00CE629D" w:rsidRDefault="00CE629D" w:rsidP="00CE629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6"/>
          <w:szCs w:val="26"/>
          <w:lang w:eastAsia="en-US"/>
        </w:rPr>
      </w:pPr>
      <w:r>
        <w:rPr>
          <w:b/>
          <w:sz w:val="26"/>
          <w:szCs w:val="26"/>
        </w:rPr>
        <w:t xml:space="preserve">Размер платы за предоставление услуги (процесса) и основание ее взимания: </w:t>
      </w:r>
      <w:r>
        <w:rPr>
          <w:sz w:val="26"/>
          <w:szCs w:val="26"/>
        </w:rPr>
        <w:t xml:space="preserve">Размер платы за технологическое присоединение </w:t>
      </w:r>
      <w:proofErr w:type="spellStart"/>
      <w:r>
        <w:rPr>
          <w:sz w:val="26"/>
          <w:szCs w:val="26"/>
        </w:rPr>
        <w:t>энергопринимающих</w:t>
      </w:r>
      <w:proofErr w:type="spellEnd"/>
      <w:r>
        <w:rPr>
          <w:sz w:val="26"/>
          <w:szCs w:val="26"/>
        </w:rPr>
        <w:t xml:space="preserve"> устройств рассчитывается исходя из утвержденных </w:t>
      </w:r>
      <w:r>
        <w:rPr>
          <w:rFonts w:eastAsiaTheme="minorHAnsi"/>
          <w:sz w:val="26"/>
          <w:szCs w:val="26"/>
          <w:lang w:eastAsia="en-US"/>
        </w:rPr>
        <w:t>органами исполнительной власти субъектов Российской Федерации в области государственного регулирования тарифов ставок платы.</w:t>
      </w:r>
    </w:p>
    <w:p w:rsidR="00CE629D" w:rsidRDefault="00CE629D" w:rsidP="00CE629D">
      <w:pPr>
        <w:autoSpaceDE w:val="0"/>
        <w:autoSpaceDN w:val="0"/>
        <w:adjustRightInd w:val="0"/>
        <w:spacing w:before="120"/>
        <w:ind w:firstLine="567"/>
        <w:jc w:val="both"/>
        <w:rPr>
          <w:sz w:val="26"/>
          <w:szCs w:val="26"/>
        </w:rPr>
      </w:pPr>
      <w:r>
        <w:rPr>
          <w:b/>
          <w:sz w:val="26"/>
          <w:szCs w:val="26"/>
        </w:rPr>
        <w:t>Условия оказания услуги (процесса):</w:t>
      </w:r>
      <w:r>
        <w:rPr>
          <w:sz w:val="26"/>
          <w:szCs w:val="26"/>
        </w:rPr>
        <w:t xml:space="preserve"> </w:t>
      </w:r>
    </w:p>
    <w:p w:rsidR="00CE629D" w:rsidRDefault="00CE629D" w:rsidP="00CE629D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1) Наличие соглашения о перераспределении мощности между заинтересованными лицами; наличие избытков мощности. </w:t>
      </w:r>
    </w:p>
    <w:p w:rsidR="00CE629D" w:rsidRDefault="00CE629D" w:rsidP="00CE629D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 xml:space="preserve">2) Перераспределение возможно в пределах действия одного центра питания (при осуществлении перераспределения максимальной мощности в электрических сетях классом напряжения от 0,4 до 35 </w:t>
      </w:r>
      <w:proofErr w:type="spellStart"/>
      <w:r>
        <w:rPr>
          <w:sz w:val="26"/>
          <w:szCs w:val="26"/>
        </w:rPr>
        <w:t>кВ</w:t>
      </w:r>
      <w:proofErr w:type="spellEnd"/>
      <w:r>
        <w:rPr>
          <w:sz w:val="26"/>
          <w:szCs w:val="26"/>
        </w:rPr>
        <w:t xml:space="preserve"> центром питания считается питающая подстанция с классом напряжения 35 </w:t>
      </w:r>
      <w:proofErr w:type="spellStart"/>
      <w:r>
        <w:rPr>
          <w:sz w:val="26"/>
          <w:szCs w:val="26"/>
        </w:rPr>
        <w:t>кВ</w:t>
      </w:r>
      <w:proofErr w:type="spellEnd"/>
      <w:r>
        <w:rPr>
          <w:sz w:val="26"/>
          <w:szCs w:val="26"/>
        </w:rPr>
        <w:t xml:space="preserve">, при осуществлении перераспределения максимальной мощности в электрических сетях классом напряжения свыше 35 </w:t>
      </w:r>
      <w:proofErr w:type="spellStart"/>
      <w:r>
        <w:rPr>
          <w:sz w:val="26"/>
          <w:szCs w:val="26"/>
        </w:rPr>
        <w:t>кВ</w:t>
      </w:r>
      <w:proofErr w:type="spellEnd"/>
      <w:r>
        <w:rPr>
          <w:sz w:val="26"/>
          <w:szCs w:val="26"/>
        </w:rPr>
        <w:t xml:space="preserve"> центром питания считается распределительное устройство подстанции,</w:t>
      </w:r>
      <w:r>
        <w:rPr>
          <w:rFonts w:eastAsiaTheme="minorHAnsi"/>
          <w:sz w:val="26"/>
          <w:szCs w:val="26"/>
          <w:lang w:eastAsia="en-US"/>
        </w:rPr>
        <w:t xml:space="preserve"> к которому осуществлено технологическое присоединение </w:t>
      </w:r>
      <w:proofErr w:type="spellStart"/>
      <w:r>
        <w:rPr>
          <w:rFonts w:eastAsiaTheme="minorHAnsi"/>
          <w:sz w:val="26"/>
          <w:szCs w:val="26"/>
          <w:lang w:eastAsia="en-US"/>
        </w:rPr>
        <w:t>энергопринимающих</w:t>
      </w:r>
      <w:proofErr w:type="spellEnd"/>
      <w:r>
        <w:rPr>
          <w:rFonts w:eastAsiaTheme="minorHAnsi"/>
          <w:sz w:val="26"/>
          <w:szCs w:val="26"/>
          <w:lang w:eastAsia="en-US"/>
        </w:rPr>
        <w:t xml:space="preserve"> устройств лица, перераспределяющего свою максимальную мощность</w:t>
      </w:r>
      <w:r>
        <w:rPr>
          <w:sz w:val="26"/>
          <w:szCs w:val="26"/>
        </w:rPr>
        <w:t>;</w:t>
      </w:r>
    </w:p>
    <w:p w:rsidR="00CE629D" w:rsidRDefault="00CE629D" w:rsidP="00CE629D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3) Заявители, в отношении которых до 1 января 2009 г. в установленном порядке было осуществлено технологическое присоединение к электрическим сетям, вправе по соглашению с иными владельцами </w:t>
      </w:r>
      <w:proofErr w:type="spellStart"/>
      <w:r>
        <w:rPr>
          <w:sz w:val="26"/>
          <w:szCs w:val="26"/>
        </w:rPr>
        <w:t>энергопринимающих</w:t>
      </w:r>
      <w:proofErr w:type="spellEnd"/>
      <w:r>
        <w:rPr>
          <w:sz w:val="26"/>
          <w:szCs w:val="26"/>
        </w:rPr>
        <w:t xml:space="preserve"> устройств снизить объем максимальной мощности.</w:t>
      </w:r>
    </w:p>
    <w:p w:rsidR="00CE629D" w:rsidRDefault="00CE629D" w:rsidP="00CE629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sz w:val="26"/>
          <w:szCs w:val="26"/>
        </w:rPr>
        <w:t xml:space="preserve">4) </w:t>
      </w:r>
      <w:r>
        <w:rPr>
          <w:rFonts w:ascii="Times New Roman" w:hAnsi="Times New Roman" w:cs="Times New Roman"/>
          <w:sz w:val="26"/>
          <w:szCs w:val="26"/>
        </w:rPr>
        <w:t xml:space="preserve">За исключением: потребители электрической энергии, энергоснабжение </w:t>
      </w:r>
      <w:proofErr w:type="spellStart"/>
      <w:r>
        <w:rPr>
          <w:rFonts w:ascii="Times New Roman" w:hAnsi="Times New Roman" w:cs="Times New Roman"/>
          <w:sz w:val="26"/>
          <w:szCs w:val="26"/>
        </w:rPr>
        <w:t>энергопринимающих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устройств которых осуществляется по третьей категории надежности электроснабжения, не вправе перераспределять свою максимальную мощность в пользу потребителей, энергоснабжение </w:t>
      </w:r>
      <w:proofErr w:type="spellStart"/>
      <w:r>
        <w:rPr>
          <w:rFonts w:ascii="Times New Roman" w:hAnsi="Times New Roman" w:cs="Times New Roman"/>
          <w:sz w:val="26"/>
          <w:szCs w:val="26"/>
        </w:rPr>
        <w:t>энергопринимающих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устройств которых осуществляется по первой или второй категориям надежности электроснабжения.</w:t>
      </w:r>
    </w:p>
    <w:p w:rsidR="00CE629D" w:rsidRDefault="00CE629D" w:rsidP="00CE629D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Не допускается снижение объема максимальной мощности собственных </w:t>
      </w:r>
      <w:proofErr w:type="spellStart"/>
      <w:r>
        <w:rPr>
          <w:sz w:val="26"/>
          <w:szCs w:val="26"/>
        </w:rPr>
        <w:t>энергопринимающих</w:t>
      </w:r>
      <w:proofErr w:type="spellEnd"/>
      <w:r>
        <w:rPr>
          <w:sz w:val="26"/>
          <w:szCs w:val="26"/>
        </w:rPr>
        <w:t xml:space="preserve"> устройств с одновременным перераспределением объема снижения максимальной мощности в пользу иных владельцев от объема максимальной мощности, указанной в документах о технологическом присоединении </w:t>
      </w:r>
      <w:proofErr w:type="spellStart"/>
      <w:r>
        <w:rPr>
          <w:sz w:val="26"/>
          <w:szCs w:val="26"/>
        </w:rPr>
        <w:t>энергопринимающих</w:t>
      </w:r>
      <w:proofErr w:type="spellEnd"/>
      <w:r>
        <w:rPr>
          <w:sz w:val="26"/>
          <w:szCs w:val="26"/>
        </w:rPr>
        <w:t xml:space="preserve"> устройств, следующими лицами:</w:t>
      </w:r>
    </w:p>
    <w:p w:rsidR="00CE629D" w:rsidRDefault="00CE629D" w:rsidP="00CE629D">
      <w:pPr>
        <w:autoSpaceDE w:val="0"/>
        <w:autoSpaceDN w:val="0"/>
        <w:adjustRightInd w:val="0"/>
        <w:spacing w:before="20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а) юридические лица или индивидуальные предприниматели, осуществившие технологическое присоединение </w:t>
      </w:r>
      <w:proofErr w:type="spellStart"/>
      <w:r>
        <w:rPr>
          <w:sz w:val="26"/>
          <w:szCs w:val="26"/>
        </w:rPr>
        <w:t>энергопринимающих</w:t>
      </w:r>
      <w:proofErr w:type="spellEnd"/>
      <w:r>
        <w:rPr>
          <w:sz w:val="26"/>
          <w:szCs w:val="26"/>
        </w:rPr>
        <w:t xml:space="preserve"> устройств, максимальная мощность которых составляет до 150 кВт включительно (с учетом ранее присоединенных в данной точке присоединения </w:t>
      </w:r>
      <w:proofErr w:type="spellStart"/>
      <w:r>
        <w:rPr>
          <w:sz w:val="26"/>
          <w:szCs w:val="26"/>
        </w:rPr>
        <w:t>энергопринимающих</w:t>
      </w:r>
      <w:proofErr w:type="spellEnd"/>
      <w:r>
        <w:rPr>
          <w:sz w:val="26"/>
          <w:szCs w:val="26"/>
        </w:rPr>
        <w:t xml:space="preserve"> устройств) по третьей категории надежности;</w:t>
      </w:r>
    </w:p>
    <w:p w:rsidR="00CE629D" w:rsidRDefault="00CE629D" w:rsidP="00CE629D">
      <w:pPr>
        <w:autoSpaceDE w:val="0"/>
        <w:autoSpaceDN w:val="0"/>
        <w:adjustRightInd w:val="0"/>
        <w:spacing w:before="20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б) лица, технологическое присоединение которых осуществлено по временной схеме электроснабжения;</w:t>
      </w:r>
    </w:p>
    <w:p w:rsidR="00CE629D" w:rsidRDefault="00CE629D" w:rsidP="00CE629D">
      <w:pPr>
        <w:autoSpaceDE w:val="0"/>
        <w:autoSpaceDN w:val="0"/>
        <w:adjustRightInd w:val="0"/>
        <w:spacing w:before="20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в) физические лица в отношении </w:t>
      </w:r>
      <w:proofErr w:type="spellStart"/>
      <w:r>
        <w:rPr>
          <w:sz w:val="26"/>
          <w:szCs w:val="26"/>
        </w:rPr>
        <w:t>энергопринимающих</w:t>
      </w:r>
      <w:proofErr w:type="spellEnd"/>
      <w:r>
        <w:rPr>
          <w:sz w:val="26"/>
          <w:szCs w:val="26"/>
        </w:rPr>
        <w:t xml:space="preserve"> устройств, максимальная мощность которых составляет до 15 кВт включительно;</w:t>
      </w:r>
    </w:p>
    <w:p w:rsidR="00CE629D" w:rsidRDefault="00CE629D" w:rsidP="00CE629D">
      <w:pPr>
        <w:autoSpaceDE w:val="0"/>
        <w:autoSpaceDN w:val="0"/>
        <w:adjustRightInd w:val="0"/>
        <w:spacing w:before="20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г) лица, </w:t>
      </w:r>
      <w:proofErr w:type="spellStart"/>
      <w:r>
        <w:rPr>
          <w:sz w:val="26"/>
          <w:szCs w:val="26"/>
        </w:rPr>
        <w:t>энергопринимающие</w:t>
      </w:r>
      <w:proofErr w:type="spellEnd"/>
      <w:r>
        <w:rPr>
          <w:sz w:val="26"/>
          <w:szCs w:val="26"/>
        </w:rPr>
        <w:t xml:space="preserve"> устройства которых присоединены к объектам электросетевого хозяйства, соответствующим критериям отнесения объектов к единой национальной (общероссийской) электрической сети;</w:t>
      </w:r>
    </w:p>
    <w:p w:rsidR="00CE629D" w:rsidRDefault="00CE629D" w:rsidP="00CE629D">
      <w:pPr>
        <w:autoSpaceDE w:val="0"/>
        <w:autoSpaceDN w:val="0"/>
        <w:adjustRightInd w:val="0"/>
        <w:spacing w:before="20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д) лица, не внесшие плату за технологическое присоединение либо внесшие плату за технологическое присоединение не в полном объеме.</w:t>
      </w:r>
    </w:p>
    <w:p w:rsidR="00CE629D" w:rsidRDefault="00CE629D" w:rsidP="00CE629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E629D" w:rsidRDefault="00CE629D" w:rsidP="00CE629D">
      <w:pPr>
        <w:autoSpaceDE w:val="0"/>
        <w:autoSpaceDN w:val="0"/>
        <w:adjustRightInd w:val="0"/>
        <w:spacing w:before="120"/>
        <w:ind w:firstLine="567"/>
        <w:jc w:val="both"/>
        <w:rPr>
          <w:sz w:val="26"/>
          <w:szCs w:val="26"/>
        </w:rPr>
      </w:pPr>
      <w:r>
        <w:rPr>
          <w:b/>
          <w:sz w:val="26"/>
          <w:szCs w:val="26"/>
        </w:rPr>
        <w:t>Результат оказания услуги (процесса):</w:t>
      </w:r>
      <w:r>
        <w:rPr>
          <w:sz w:val="26"/>
          <w:szCs w:val="26"/>
        </w:rPr>
        <w:t xml:space="preserve"> технологическое присоединение </w:t>
      </w:r>
      <w:proofErr w:type="spellStart"/>
      <w:r>
        <w:rPr>
          <w:sz w:val="26"/>
          <w:szCs w:val="26"/>
        </w:rPr>
        <w:t>энергопринимающих</w:t>
      </w:r>
      <w:proofErr w:type="spellEnd"/>
      <w:r>
        <w:rPr>
          <w:sz w:val="26"/>
          <w:szCs w:val="26"/>
        </w:rPr>
        <w:t xml:space="preserve"> устройств Заявителя посредством перераспределения мощности.</w:t>
      </w:r>
    </w:p>
    <w:p w:rsidR="00CE629D" w:rsidRDefault="00CE629D" w:rsidP="00CE629D">
      <w:pPr>
        <w:autoSpaceDE w:val="0"/>
        <w:autoSpaceDN w:val="0"/>
        <w:adjustRightInd w:val="0"/>
        <w:spacing w:before="120"/>
        <w:ind w:firstLine="567"/>
        <w:jc w:val="both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Общий срок оказания услуги (процесса):</w:t>
      </w:r>
    </w:p>
    <w:p w:rsidR="00CE629D" w:rsidRDefault="00CE629D" w:rsidP="00CE629D">
      <w:pPr>
        <w:autoSpaceDE w:val="0"/>
        <w:autoSpaceDN w:val="0"/>
        <w:adjustRightInd w:val="0"/>
        <w:ind w:firstLine="567"/>
        <w:jc w:val="both"/>
        <w:outlineLvl w:val="0"/>
        <w:rPr>
          <w:sz w:val="26"/>
          <w:szCs w:val="26"/>
        </w:rPr>
      </w:pPr>
    </w:p>
    <w:p w:rsidR="00CE629D" w:rsidRDefault="00CE629D" w:rsidP="00CE629D">
      <w:pPr>
        <w:pStyle w:val="a3"/>
        <w:numPr>
          <w:ilvl w:val="0"/>
          <w:numId w:val="10"/>
        </w:numPr>
        <w:autoSpaceDE w:val="0"/>
        <w:autoSpaceDN w:val="0"/>
        <w:adjustRightInd w:val="0"/>
        <w:ind w:left="0" w:firstLine="567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  <w:lang w:val="ru-RU"/>
        </w:rPr>
        <w:t>при от</w:t>
      </w:r>
      <w:proofErr w:type="spellStart"/>
      <w:r>
        <w:rPr>
          <w:rFonts w:eastAsia="Calibri"/>
          <w:bCs/>
          <w:sz w:val="28"/>
          <w:szCs w:val="28"/>
        </w:rPr>
        <w:t>сутствии</w:t>
      </w:r>
      <w:proofErr w:type="spellEnd"/>
      <w:r>
        <w:rPr>
          <w:rFonts w:eastAsia="Calibri"/>
          <w:bCs/>
          <w:sz w:val="28"/>
          <w:szCs w:val="28"/>
        </w:rPr>
        <w:t xml:space="preserve"> необходимости строительства (реконструкции) объектов электросетевого хозяйства от существующих объектов электросетевого хозяйства сетевой организации до границ участка заявителя и (или) отсутствия необходимости выполнения работ по строительству (реконструкции) объектов электросетевого хозяйства, включенных (подлежащих включению) в инвестиционные программы сетевых организаций (в том числе смежных сетевых организаций), и (или) объектов по производству электрической энергии - 30 дней;</w:t>
      </w:r>
    </w:p>
    <w:p w:rsidR="00CE629D" w:rsidRDefault="00CE629D" w:rsidP="00CE629D">
      <w:pPr>
        <w:pStyle w:val="a3"/>
        <w:numPr>
          <w:ilvl w:val="0"/>
          <w:numId w:val="10"/>
        </w:numPr>
        <w:autoSpaceDE w:val="0"/>
        <w:autoSpaceDN w:val="0"/>
        <w:adjustRightInd w:val="0"/>
        <w:ind w:left="0" w:firstLine="567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при технологическом присоединении таких лиц к электрическим сетям классом напряжения до 20 </w:t>
      </w:r>
      <w:proofErr w:type="spellStart"/>
      <w:r>
        <w:rPr>
          <w:rFonts w:eastAsia="Calibri"/>
          <w:bCs/>
          <w:sz w:val="28"/>
          <w:szCs w:val="28"/>
        </w:rPr>
        <w:t>кВ</w:t>
      </w:r>
      <w:proofErr w:type="spellEnd"/>
      <w:r>
        <w:rPr>
          <w:rFonts w:eastAsia="Calibri"/>
          <w:bCs/>
          <w:sz w:val="28"/>
          <w:szCs w:val="28"/>
        </w:rPr>
        <w:t xml:space="preserve"> включительно, если расстояние от существующих электрических сетей необходимого класса напряжения до границ участка, на котором расположены присоединяемые </w:t>
      </w:r>
      <w:proofErr w:type="spellStart"/>
      <w:r>
        <w:rPr>
          <w:rFonts w:eastAsia="Calibri"/>
          <w:bCs/>
          <w:sz w:val="28"/>
          <w:szCs w:val="28"/>
        </w:rPr>
        <w:t>энергопринимающие</w:t>
      </w:r>
      <w:proofErr w:type="spellEnd"/>
      <w:r>
        <w:rPr>
          <w:rFonts w:eastAsia="Calibri"/>
          <w:bCs/>
          <w:sz w:val="28"/>
          <w:szCs w:val="28"/>
        </w:rPr>
        <w:t xml:space="preserve"> устройства, составляет не более 300 метров в городах и поселках городского типа и не более 500 метров в сельской местности и если в соответствии с техническими условиями сетевой организации не требуется выполнения работ по строительству (реконструкции) объектов электросетевого хозяйства, включенных (подлежащих включению) в инвестиционные программы сетевых организаций (в том числе смежных сетевых организаций), и (или) объектов по производству электрической энергии, за исключением работ по строительству объектов электросетевого хозяйства от существующих объектов электросетевого хозяйства сетевой организации до присоединяемых </w:t>
      </w:r>
      <w:proofErr w:type="spellStart"/>
      <w:r>
        <w:rPr>
          <w:rFonts w:eastAsia="Calibri"/>
          <w:bCs/>
          <w:sz w:val="28"/>
          <w:szCs w:val="28"/>
        </w:rPr>
        <w:t>энергопринимающих</w:t>
      </w:r>
      <w:proofErr w:type="spellEnd"/>
      <w:r>
        <w:rPr>
          <w:rFonts w:eastAsia="Calibri"/>
          <w:bCs/>
          <w:sz w:val="28"/>
          <w:szCs w:val="28"/>
        </w:rPr>
        <w:t xml:space="preserve"> устройств потребителя и (или) объектов электроэнергетики, не может превышать:</w:t>
      </w:r>
    </w:p>
    <w:p w:rsidR="00CE629D" w:rsidRDefault="00CE629D" w:rsidP="00CE629D">
      <w:pPr>
        <w:autoSpaceDE w:val="0"/>
        <w:autoSpaceDN w:val="0"/>
        <w:adjustRightInd w:val="0"/>
        <w:ind w:firstLine="567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- 120 дней - для заявителей, максимальная мощность </w:t>
      </w:r>
      <w:proofErr w:type="spellStart"/>
      <w:r>
        <w:rPr>
          <w:sz w:val="26"/>
          <w:szCs w:val="26"/>
        </w:rPr>
        <w:t>энергопринимающих</w:t>
      </w:r>
      <w:proofErr w:type="spellEnd"/>
      <w:r>
        <w:rPr>
          <w:sz w:val="26"/>
          <w:szCs w:val="26"/>
        </w:rPr>
        <w:t xml:space="preserve"> устройств которых составляет до 670 кВт;</w:t>
      </w:r>
    </w:p>
    <w:p w:rsidR="00CE629D" w:rsidRDefault="00CE629D" w:rsidP="00CE629D">
      <w:pPr>
        <w:autoSpaceDE w:val="0"/>
        <w:autoSpaceDN w:val="0"/>
        <w:adjustRightInd w:val="0"/>
        <w:ind w:firstLine="567"/>
        <w:jc w:val="both"/>
        <w:rPr>
          <w:rFonts w:eastAsia="Calibri"/>
          <w:bCs/>
          <w:sz w:val="28"/>
          <w:szCs w:val="28"/>
        </w:rPr>
      </w:pPr>
      <w:r>
        <w:rPr>
          <w:sz w:val="26"/>
          <w:szCs w:val="26"/>
        </w:rPr>
        <w:t xml:space="preserve">- 1 год - для заявителей, максимальная мощность </w:t>
      </w:r>
      <w:proofErr w:type="spellStart"/>
      <w:r>
        <w:rPr>
          <w:sz w:val="26"/>
          <w:szCs w:val="26"/>
        </w:rPr>
        <w:t>энергопринимающих</w:t>
      </w:r>
      <w:proofErr w:type="spellEnd"/>
      <w:r>
        <w:rPr>
          <w:sz w:val="26"/>
          <w:szCs w:val="26"/>
        </w:rPr>
        <w:t xml:space="preserve"> устройств которых составляет свыше 670 кВт.</w:t>
      </w:r>
    </w:p>
    <w:p w:rsidR="00CE629D" w:rsidRDefault="00CE629D" w:rsidP="00CE629D">
      <w:pPr>
        <w:pStyle w:val="a3"/>
        <w:numPr>
          <w:ilvl w:val="0"/>
          <w:numId w:val="10"/>
        </w:numPr>
        <w:autoSpaceDE w:val="0"/>
        <w:autoSpaceDN w:val="0"/>
        <w:adjustRightInd w:val="0"/>
        <w:ind w:left="0" w:firstLine="567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  <w:lang w:val="ru-RU"/>
        </w:rPr>
        <w:t xml:space="preserve">При </w:t>
      </w:r>
      <w:r>
        <w:rPr>
          <w:rFonts w:eastAsia="Calibri"/>
          <w:bCs/>
          <w:sz w:val="28"/>
          <w:szCs w:val="28"/>
        </w:rPr>
        <w:t>перераспределени</w:t>
      </w:r>
      <w:r w:rsidR="005E0BA4">
        <w:rPr>
          <w:rFonts w:eastAsia="Calibri"/>
          <w:bCs/>
          <w:sz w:val="28"/>
          <w:szCs w:val="28"/>
          <w:lang w:val="ru-RU"/>
        </w:rPr>
        <w:t>и</w:t>
      </w:r>
      <w:r>
        <w:rPr>
          <w:rFonts w:eastAsia="Calibri"/>
          <w:bCs/>
          <w:sz w:val="28"/>
          <w:szCs w:val="28"/>
        </w:rPr>
        <w:t xml:space="preserve"> мощности в пределах действия одного центра питания в пользу лица, ранее присоединенного к электрическим сетям, срок осуществления сетевой организацией мероприятий по технологическому присоединению не может превышать 30 дней</w:t>
      </w:r>
      <w:r>
        <w:rPr>
          <w:rFonts w:eastAsia="Calibri"/>
          <w:bCs/>
          <w:sz w:val="28"/>
          <w:szCs w:val="28"/>
          <w:lang w:val="ru-RU"/>
        </w:rPr>
        <w:t>.</w:t>
      </w:r>
    </w:p>
    <w:p w:rsidR="00CE629D" w:rsidRDefault="00CE629D" w:rsidP="00CE629D">
      <w:pPr>
        <w:pStyle w:val="a3"/>
        <w:numPr>
          <w:ilvl w:val="0"/>
          <w:numId w:val="10"/>
        </w:numPr>
        <w:autoSpaceDE w:val="0"/>
        <w:autoSpaceDN w:val="0"/>
        <w:adjustRightInd w:val="0"/>
        <w:ind w:left="0" w:firstLine="567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lastRenderedPageBreak/>
        <w:t>В случае если необходимо выполнить работы по строительству (реконструкции) объектов электросетевого хозяйства, включенных (подлежащих включению) в инвестиционные программы сетевых организаций (в том числе смежных сетевых организаций), и (или) объектов по производству электрической энергии, мероприятия по технологическому присоединению выполняются сетевой организацией в сроки</w:t>
      </w:r>
      <w:r>
        <w:rPr>
          <w:rFonts w:eastAsia="Calibri"/>
          <w:bCs/>
          <w:sz w:val="28"/>
          <w:szCs w:val="28"/>
          <w:lang w:val="ru-RU"/>
        </w:rPr>
        <w:t>:</w:t>
      </w:r>
    </w:p>
    <w:p w:rsidR="00CE629D" w:rsidRDefault="00CE629D" w:rsidP="00CE629D">
      <w:pPr>
        <w:pStyle w:val="a3"/>
        <w:autoSpaceDE w:val="0"/>
        <w:autoSpaceDN w:val="0"/>
        <w:adjustRightInd w:val="0"/>
        <w:ind w:left="0" w:firstLine="567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  <w:lang w:val="ru-RU"/>
        </w:rPr>
        <w:t xml:space="preserve">- </w:t>
      </w:r>
      <w:r>
        <w:rPr>
          <w:rFonts w:eastAsia="Calibri"/>
          <w:bCs/>
          <w:sz w:val="28"/>
          <w:szCs w:val="28"/>
        </w:rPr>
        <w:t xml:space="preserve">1 год - для заявителей, максимальная мощность </w:t>
      </w:r>
      <w:proofErr w:type="spellStart"/>
      <w:r>
        <w:rPr>
          <w:rFonts w:eastAsia="Calibri"/>
          <w:bCs/>
          <w:sz w:val="28"/>
          <w:szCs w:val="28"/>
        </w:rPr>
        <w:t>энергопринимающих</w:t>
      </w:r>
      <w:proofErr w:type="spellEnd"/>
      <w:r>
        <w:rPr>
          <w:rFonts w:eastAsia="Calibri"/>
          <w:bCs/>
          <w:sz w:val="28"/>
          <w:szCs w:val="28"/>
        </w:rPr>
        <w:t xml:space="preserve"> устройств которых составляет менее 670 кВт;</w:t>
      </w:r>
    </w:p>
    <w:p w:rsidR="00CE629D" w:rsidRDefault="00CE629D" w:rsidP="00CE629D">
      <w:pPr>
        <w:pStyle w:val="a3"/>
        <w:autoSpaceDE w:val="0"/>
        <w:autoSpaceDN w:val="0"/>
        <w:adjustRightInd w:val="0"/>
        <w:ind w:left="0" w:firstLine="567"/>
        <w:jc w:val="both"/>
        <w:rPr>
          <w:rFonts w:eastAsia="Calibri"/>
          <w:bCs/>
          <w:sz w:val="28"/>
          <w:szCs w:val="28"/>
          <w:lang w:val="ru-RU"/>
        </w:rPr>
      </w:pPr>
      <w:r>
        <w:rPr>
          <w:rFonts w:eastAsia="Calibri"/>
          <w:bCs/>
          <w:sz w:val="28"/>
          <w:szCs w:val="28"/>
        </w:rPr>
        <w:t xml:space="preserve">- 2 года - для заявителей, максимальная мощность </w:t>
      </w:r>
      <w:proofErr w:type="spellStart"/>
      <w:r>
        <w:rPr>
          <w:rFonts w:eastAsia="Calibri"/>
          <w:bCs/>
          <w:sz w:val="28"/>
          <w:szCs w:val="28"/>
        </w:rPr>
        <w:t>энергопринимающих</w:t>
      </w:r>
      <w:proofErr w:type="spellEnd"/>
      <w:r>
        <w:rPr>
          <w:rFonts w:eastAsia="Calibri"/>
          <w:bCs/>
          <w:sz w:val="28"/>
          <w:szCs w:val="28"/>
        </w:rPr>
        <w:t xml:space="preserve"> устройств которых составляет не менее 670 кВт</w:t>
      </w:r>
      <w:r>
        <w:rPr>
          <w:rFonts w:eastAsia="Calibri"/>
          <w:bCs/>
          <w:sz w:val="28"/>
          <w:szCs w:val="28"/>
          <w:lang w:val="ru-RU"/>
        </w:rPr>
        <w:t>.</w:t>
      </w:r>
    </w:p>
    <w:p w:rsidR="00CE629D" w:rsidRDefault="00CE629D" w:rsidP="00CE629D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</w:p>
    <w:p w:rsidR="00CE629D" w:rsidRDefault="00CE629D" w:rsidP="00CE629D">
      <w:pPr>
        <w:spacing w:before="120"/>
        <w:ind w:firstLine="567"/>
        <w:jc w:val="both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Состав, последовательность и сроки оказания услуги (процесса):</w:t>
      </w:r>
    </w:p>
    <w:tbl>
      <w:tblPr>
        <w:tblW w:w="49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30"/>
        <w:gridCol w:w="1801"/>
        <w:gridCol w:w="2235"/>
        <w:gridCol w:w="3122"/>
        <w:gridCol w:w="1869"/>
        <w:gridCol w:w="2255"/>
        <w:gridCol w:w="2557"/>
      </w:tblGrid>
      <w:tr w:rsidR="00CE629D" w:rsidTr="00744830">
        <w:trPr>
          <w:tblHeader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29D" w:rsidRDefault="00CE629D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29D" w:rsidRDefault="00CE629D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Этап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29D" w:rsidRDefault="00CE629D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Условие этапа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29D" w:rsidRDefault="00CE629D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Содержание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29D" w:rsidRDefault="00CE629D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Форма предоставления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29D" w:rsidRDefault="00CE629D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Срок исполнения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29D" w:rsidRDefault="00CE629D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Ссылка на нормативно правовой акт</w:t>
            </w:r>
          </w:p>
        </w:tc>
      </w:tr>
      <w:tr w:rsidR="00CE629D" w:rsidTr="00744830">
        <w:trPr>
          <w:trHeight w:val="86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29D" w:rsidRDefault="00CE629D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29D" w:rsidRDefault="00CE629D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Заключение Соглашения о перераспределении мощности между заинтересованными лицами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29D" w:rsidRDefault="00CE629D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29D" w:rsidRDefault="00CE629D">
            <w:pPr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Заключение соглашения между лицами о перераспределении максимальной мощности принадлежащими им </w:t>
            </w:r>
            <w:proofErr w:type="spellStart"/>
            <w:r>
              <w:rPr>
                <w:sz w:val="22"/>
                <w:szCs w:val="22"/>
                <w:lang w:eastAsia="en-US"/>
              </w:rPr>
              <w:t>энергопринимающими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устройствами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29D" w:rsidRDefault="00CE629D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 письменной форме 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29D" w:rsidRDefault="00CE629D">
            <w:pPr>
              <w:pStyle w:val="a3"/>
              <w:autoSpaceDE w:val="0"/>
              <w:autoSpaceDN w:val="0"/>
              <w:adjustRightInd w:val="0"/>
              <w:spacing w:line="276" w:lineRule="auto"/>
              <w:ind w:left="34"/>
              <w:rPr>
                <w:lang w:val="ru-RU" w:eastAsia="en-US"/>
              </w:rPr>
            </w:pPr>
            <w:r>
              <w:rPr>
                <w:sz w:val="22"/>
                <w:szCs w:val="22"/>
                <w:lang w:eastAsia="en-US"/>
              </w:rPr>
              <w:t>Не ограничено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29D" w:rsidRDefault="00CE629D">
            <w:pPr>
              <w:autoSpaceDE w:val="0"/>
              <w:autoSpaceDN w:val="0"/>
              <w:adjustRightInd w:val="0"/>
              <w:spacing w:line="276" w:lineRule="auto"/>
              <w:ind w:left="-16" w:hanging="16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Пункт 34 Правил технологического присоединения </w:t>
            </w:r>
            <w:proofErr w:type="spellStart"/>
            <w:r>
              <w:rPr>
                <w:sz w:val="22"/>
                <w:szCs w:val="22"/>
                <w:lang w:eastAsia="en-US"/>
              </w:rPr>
              <w:t>энергопринимающих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устройств потребителей электрической энергии</w:t>
            </w:r>
            <w:r>
              <w:rPr>
                <w:rStyle w:val="a6"/>
                <w:sz w:val="22"/>
                <w:szCs w:val="22"/>
                <w:lang w:eastAsia="en-US"/>
              </w:rPr>
              <w:footnoteReference w:id="1"/>
            </w:r>
            <w:r>
              <w:rPr>
                <w:sz w:val="22"/>
                <w:szCs w:val="22"/>
                <w:lang w:eastAsia="en-US"/>
              </w:rPr>
              <w:t>.</w:t>
            </w:r>
          </w:p>
        </w:tc>
      </w:tr>
      <w:tr w:rsidR="00CE629D" w:rsidTr="00744830">
        <w:trPr>
          <w:trHeight w:val="86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29D" w:rsidRDefault="00CE629D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29D" w:rsidRDefault="00CE629D">
            <w:pPr>
              <w:autoSpaceDE w:val="0"/>
              <w:autoSpaceDN w:val="0"/>
              <w:adjustRightInd w:val="0"/>
              <w:spacing w:line="276" w:lineRule="auto"/>
              <w:ind w:firstLine="539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Направление уведомления в сетевую организацию, с приложением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копии технических условий, выданных лицу, максимальная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 xml:space="preserve">мощность </w:t>
            </w:r>
            <w:proofErr w:type="spellStart"/>
            <w:r>
              <w:rPr>
                <w:rFonts w:eastAsiaTheme="minorHAnsi"/>
                <w:sz w:val="22"/>
                <w:szCs w:val="22"/>
                <w:lang w:eastAsia="en-US"/>
              </w:rPr>
              <w:t>энергопринимающих</w:t>
            </w:r>
            <w:proofErr w:type="spellEnd"/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устройств которого перераспределяется;</w:t>
            </w:r>
          </w:p>
          <w:p w:rsidR="00CE629D" w:rsidRDefault="00CE629D">
            <w:pPr>
              <w:autoSpaceDE w:val="0"/>
              <w:autoSpaceDN w:val="0"/>
              <w:adjustRightInd w:val="0"/>
              <w:spacing w:line="276" w:lineRule="auto"/>
              <w:ind w:firstLine="539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копии акта об осуществлении технологического присоединения;</w:t>
            </w:r>
          </w:p>
          <w:p w:rsidR="00CE629D" w:rsidRDefault="00CE629D">
            <w:pPr>
              <w:autoSpaceDE w:val="0"/>
              <w:autoSpaceDN w:val="0"/>
              <w:adjustRightInd w:val="0"/>
              <w:spacing w:line="276" w:lineRule="auto"/>
              <w:ind w:firstLine="539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заявки на технологическое присоединение </w:t>
            </w:r>
            <w:proofErr w:type="spellStart"/>
            <w:r>
              <w:rPr>
                <w:rFonts w:eastAsiaTheme="minorHAnsi"/>
                <w:sz w:val="22"/>
                <w:szCs w:val="22"/>
                <w:lang w:eastAsia="en-US"/>
              </w:rPr>
              <w:t>энергопринимающих</w:t>
            </w:r>
            <w:proofErr w:type="spellEnd"/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устройств лица, в пользу которого предполагается перераспределить избыток максимальной мощности;</w:t>
            </w:r>
          </w:p>
          <w:p w:rsidR="00CE629D" w:rsidRDefault="00CE629D" w:rsidP="00744830">
            <w:pPr>
              <w:autoSpaceDE w:val="0"/>
              <w:autoSpaceDN w:val="0"/>
              <w:adjustRightInd w:val="0"/>
              <w:spacing w:line="276" w:lineRule="auto"/>
              <w:ind w:firstLine="539"/>
              <w:jc w:val="both"/>
              <w:rPr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заверенной копии заключенного соглашения о перераспределении мощности.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29D" w:rsidRDefault="00CE629D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Подача заявки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29D" w:rsidRDefault="00CE629D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Рассмотрение уведомления на предмет полноты сведений и пакета необходимых документов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29D" w:rsidRDefault="00CE629D" w:rsidP="005E0BA4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Уведомление в письменной форме направляется способом, позволяющим подтвердить факт получения, или выдача </w:t>
            </w:r>
            <w:r>
              <w:rPr>
                <w:sz w:val="22"/>
                <w:szCs w:val="22"/>
                <w:lang w:eastAsia="en-US"/>
              </w:rPr>
              <w:lastRenderedPageBreak/>
              <w:t>за</w:t>
            </w:r>
            <w:r w:rsidR="005E0BA4">
              <w:rPr>
                <w:sz w:val="22"/>
                <w:szCs w:val="22"/>
                <w:lang w:eastAsia="en-US"/>
              </w:rPr>
              <w:t>явителю в офисе.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29D" w:rsidRDefault="00CE629D">
            <w:pPr>
              <w:pStyle w:val="a3"/>
              <w:autoSpaceDE w:val="0"/>
              <w:autoSpaceDN w:val="0"/>
              <w:adjustRightInd w:val="0"/>
              <w:spacing w:line="276" w:lineRule="auto"/>
              <w:ind w:left="34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lastRenderedPageBreak/>
              <w:t>3 рабочих дня</w:t>
            </w:r>
          </w:p>
          <w:p w:rsidR="00CE629D" w:rsidRDefault="00CE629D">
            <w:pPr>
              <w:pStyle w:val="a3"/>
              <w:autoSpaceDE w:val="0"/>
              <w:autoSpaceDN w:val="0"/>
              <w:adjustRightInd w:val="0"/>
              <w:spacing w:line="276" w:lineRule="auto"/>
              <w:ind w:left="34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 xml:space="preserve">В случае непредставления заявителем недостающих документов и сведений в течение 20 рабочих дней со дня получения уведомления </w:t>
            </w:r>
            <w:r>
              <w:rPr>
                <w:lang w:eastAsia="en-US"/>
              </w:rPr>
              <w:lastRenderedPageBreak/>
              <w:t>сетевая организация аннулирует заявку и уведомляет об этом заявителя в течение 3 рабочих дней со дня принятия решения об аннулировании заявки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29D" w:rsidRDefault="00CE629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Пункт 15 Правил технологического присоединения </w:t>
            </w:r>
            <w:proofErr w:type="spellStart"/>
            <w:r>
              <w:rPr>
                <w:sz w:val="22"/>
                <w:szCs w:val="22"/>
                <w:lang w:eastAsia="en-US"/>
              </w:rPr>
              <w:t>энергопринимающих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устройств потребителей электрической энергии</w:t>
            </w:r>
          </w:p>
        </w:tc>
      </w:tr>
      <w:tr w:rsidR="00CE629D" w:rsidTr="00744830">
        <w:trPr>
          <w:trHeight w:val="86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29D" w:rsidRDefault="00CE629D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lastRenderedPageBreak/>
              <w:t>3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29D" w:rsidRDefault="00CE629D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Сетевая организация направляет копию уведомления субъекту оперативно-диспетчерского управления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29D" w:rsidRDefault="00CE629D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 следующих случаях:</w:t>
            </w:r>
          </w:p>
          <w:p w:rsidR="00CE629D" w:rsidRDefault="00CE629D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технические условия, подлежат согласованию с субъектом оперативно-диспетчерского управления;</w:t>
            </w:r>
          </w:p>
          <w:p w:rsidR="00CE629D" w:rsidRDefault="00CE629D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- технические условия, ранее выданные лицу, максимальная мощность </w:t>
            </w:r>
            <w:proofErr w:type="spellStart"/>
            <w:r>
              <w:rPr>
                <w:sz w:val="22"/>
                <w:szCs w:val="22"/>
                <w:lang w:eastAsia="en-US"/>
              </w:rPr>
              <w:t>энергопринимающих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устройств которого перераспределяется, были согласованы с субъектом оперативно-диспетчерского управления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29D" w:rsidRDefault="00CE629D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Сетевая организация направляет копию уведомления субъекту оперативно-диспетчерского управления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29D" w:rsidRDefault="00CE629D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Способом, позволяющим подтвердить факт получения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29D" w:rsidRDefault="00CE629D">
            <w:pPr>
              <w:pStyle w:val="a3"/>
              <w:autoSpaceDE w:val="0"/>
              <w:autoSpaceDN w:val="0"/>
              <w:adjustRightInd w:val="0"/>
              <w:spacing w:line="276" w:lineRule="auto"/>
              <w:ind w:left="34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 течение 5 рабочих дней со дня получения уведомления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29D" w:rsidRDefault="00CE629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Пункт 34 Правил технологического присоединения </w:t>
            </w:r>
            <w:proofErr w:type="spellStart"/>
            <w:r>
              <w:rPr>
                <w:sz w:val="22"/>
                <w:szCs w:val="22"/>
                <w:lang w:eastAsia="en-US"/>
              </w:rPr>
              <w:t>энергопринимающих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устройств потребителей электрической энергии</w:t>
            </w:r>
          </w:p>
        </w:tc>
      </w:tr>
      <w:tr w:rsidR="00CE629D" w:rsidTr="00744830">
        <w:trPr>
          <w:trHeight w:val="86"/>
        </w:trPr>
        <w:tc>
          <w:tcPr>
            <w:tcW w:w="1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29D" w:rsidRDefault="00CE629D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6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29D" w:rsidRDefault="00CE629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Заключение договора об осуществлении технологического присоединения к электрическим сетям с заявителем, в пользу которого </w:t>
            </w:r>
            <w:r>
              <w:rPr>
                <w:sz w:val="22"/>
                <w:szCs w:val="22"/>
                <w:lang w:eastAsia="en-US"/>
              </w:rPr>
              <w:lastRenderedPageBreak/>
              <w:t>перераспределяется мощность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29D" w:rsidRDefault="00CE629D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При необходимости согласования сетевой организации технических условий с системным оператором 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29D" w:rsidRDefault="00CE629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4.1. </w:t>
            </w:r>
            <w:r>
              <w:rPr>
                <w:sz w:val="22"/>
                <w:szCs w:val="22"/>
                <w:lang w:eastAsia="en-US"/>
              </w:rPr>
              <w:t>Направление заявителю уведомления об увеличении срока в связи с согласованием технических условий с системным оператором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29D" w:rsidRDefault="00CE629D" w:rsidP="00406D70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Уведомление в письменной форме направляется способом, позволяющим подтвердить факт получени</w:t>
            </w:r>
            <w:r w:rsidR="00406D70">
              <w:rPr>
                <w:sz w:val="22"/>
                <w:szCs w:val="22"/>
                <w:lang w:eastAsia="en-US"/>
              </w:rPr>
              <w:t xml:space="preserve">я, или выдача </w:t>
            </w:r>
            <w:r w:rsidR="00406D70">
              <w:rPr>
                <w:sz w:val="22"/>
                <w:szCs w:val="22"/>
                <w:lang w:eastAsia="en-US"/>
              </w:rPr>
              <w:lastRenderedPageBreak/>
              <w:t>заявителю в офисе.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29D" w:rsidRDefault="00CE629D">
            <w:pPr>
              <w:pStyle w:val="a3"/>
              <w:autoSpaceDE w:val="0"/>
              <w:autoSpaceDN w:val="0"/>
              <w:adjustRightInd w:val="0"/>
              <w:spacing w:line="276" w:lineRule="auto"/>
              <w:ind w:left="34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-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29D" w:rsidRDefault="00CE629D">
            <w:pPr>
              <w:autoSpaceDE w:val="0"/>
              <w:autoSpaceDN w:val="0"/>
              <w:adjustRightInd w:val="0"/>
              <w:spacing w:line="276" w:lineRule="auto"/>
              <w:ind w:left="-16" w:hanging="16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Пункт 15, 21 Правил технологического присоединения </w:t>
            </w:r>
            <w:proofErr w:type="spellStart"/>
            <w:r>
              <w:rPr>
                <w:sz w:val="22"/>
                <w:szCs w:val="22"/>
                <w:lang w:eastAsia="en-US"/>
              </w:rPr>
              <w:t>энергопринимающих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устройств потребителей электрической энергии</w:t>
            </w:r>
          </w:p>
        </w:tc>
      </w:tr>
      <w:tr w:rsidR="00CE629D" w:rsidTr="00744830">
        <w:trPr>
          <w:trHeight w:val="86"/>
        </w:trPr>
        <w:tc>
          <w:tcPr>
            <w:tcW w:w="1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29D" w:rsidRDefault="00CE629D">
            <w:pPr>
              <w:rPr>
                <w:b/>
                <w:bCs/>
                <w:lang w:eastAsia="en-US"/>
              </w:rPr>
            </w:pPr>
          </w:p>
        </w:tc>
        <w:tc>
          <w:tcPr>
            <w:tcW w:w="6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29D" w:rsidRDefault="00CE629D">
            <w:pPr>
              <w:rPr>
                <w:lang w:eastAsia="en-US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29D" w:rsidRDefault="00CE629D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29D" w:rsidRDefault="00CE629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4.2.</w:t>
            </w:r>
            <w:r>
              <w:rPr>
                <w:sz w:val="22"/>
                <w:szCs w:val="22"/>
                <w:lang w:eastAsia="en-US"/>
              </w:rPr>
              <w:t xml:space="preserve"> Направление (выдача при очном посещении офиса обслуживания) сетевой организацией проекта договора об осуществлении технологического </w:t>
            </w:r>
            <w:proofErr w:type="gramStart"/>
            <w:r>
              <w:rPr>
                <w:sz w:val="22"/>
                <w:szCs w:val="22"/>
                <w:lang w:eastAsia="en-US"/>
              </w:rPr>
              <w:t>присоединения  с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 техническими условиями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29D" w:rsidRDefault="00CE629D" w:rsidP="00406D70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Письменная форма проекта договора, подписанного со стороны сетевой организации, направляется способом, позволяющим подтвердить факт получения, или выдача заявителю в офисе</w:t>
            </w:r>
            <w:r w:rsidR="00406D70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29D" w:rsidRDefault="00CE629D">
            <w:pPr>
              <w:pStyle w:val="a3"/>
              <w:autoSpaceDE w:val="0"/>
              <w:autoSpaceDN w:val="0"/>
              <w:adjustRightInd w:val="0"/>
              <w:spacing w:line="276" w:lineRule="auto"/>
              <w:ind w:left="34"/>
              <w:rPr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 xml:space="preserve">20 рабочих </w:t>
            </w:r>
            <w:r>
              <w:rPr>
                <w:sz w:val="22"/>
                <w:szCs w:val="22"/>
                <w:lang w:eastAsia="en-US"/>
              </w:rPr>
              <w:t xml:space="preserve">дней с </w:t>
            </w:r>
            <w:proofErr w:type="gramStart"/>
            <w:r>
              <w:rPr>
                <w:sz w:val="22"/>
                <w:szCs w:val="22"/>
                <w:lang w:eastAsia="en-US"/>
              </w:rPr>
              <w:t>даты  получения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уведомления или недостающих сведений</w:t>
            </w:r>
            <w:r>
              <w:rPr>
                <w:sz w:val="22"/>
                <w:szCs w:val="22"/>
                <w:lang w:val="ru-RU" w:eastAsia="en-US"/>
              </w:rPr>
              <w:t>;</w:t>
            </w:r>
          </w:p>
          <w:p w:rsidR="00CE629D" w:rsidRDefault="00CE629D">
            <w:pPr>
              <w:autoSpaceDE w:val="0"/>
              <w:autoSpaceDN w:val="0"/>
              <w:adjustRightInd w:val="0"/>
              <w:spacing w:line="276" w:lineRule="auto"/>
              <w:ind w:firstLine="12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не позднее 3 рабочих дней со дня согласования с системным оператором тех. условий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29D" w:rsidRDefault="00CE629D">
            <w:pPr>
              <w:autoSpaceDE w:val="0"/>
              <w:autoSpaceDN w:val="0"/>
              <w:adjustRightInd w:val="0"/>
              <w:spacing w:line="276" w:lineRule="auto"/>
              <w:ind w:left="-16" w:hanging="16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Пункт 15 Правил технологического присоединения </w:t>
            </w:r>
            <w:proofErr w:type="spellStart"/>
            <w:r>
              <w:rPr>
                <w:sz w:val="22"/>
                <w:szCs w:val="22"/>
                <w:lang w:eastAsia="en-US"/>
              </w:rPr>
              <w:t>энергопринимающих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устройств потребителей электрической энергии</w:t>
            </w:r>
          </w:p>
        </w:tc>
      </w:tr>
      <w:tr w:rsidR="00CE629D" w:rsidTr="00744830">
        <w:trPr>
          <w:trHeight w:val="86"/>
        </w:trPr>
        <w:tc>
          <w:tcPr>
            <w:tcW w:w="1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29D" w:rsidRDefault="00CE629D">
            <w:pPr>
              <w:rPr>
                <w:b/>
                <w:bCs/>
                <w:lang w:eastAsia="en-US"/>
              </w:rPr>
            </w:pPr>
          </w:p>
        </w:tc>
        <w:tc>
          <w:tcPr>
            <w:tcW w:w="6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29D" w:rsidRDefault="00CE629D">
            <w:pPr>
              <w:rPr>
                <w:lang w:eastAsia="en-US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29D" w:rsidRDefault="00CE629D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29D" w:rsidRDefault="00CE629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4.3</w:t>
            </w:r>
            <w:r>
              <w:rPr>
                <w:sz w:val="22"/>
                <w:szCs w:val="22"/>
                <w:lang w:eastAsia="en-US"/>
              </w:rPr>
              <w:t>. Подписание заявителем двух экземпляров проекта договора и направление</w:t>
            </w:r>
            <w:proofErr w:type="gramStart"/>
            <w:r>
              <w:rPr>
                <w:sz w:val="22"/>
                <w:szCs w:val="22"/>
                <w:lang w:eastAsia="en-US"/>
              </w:rPr>
              <w:t xml:space="preserve">   (</w:t>
            </w:r>
            <w:proofErr w:type="gramEnd"/>
            <w:r>
              <w:rPr>
                <w:sz w:val="22"/>
                <w:szCs w:val="22"/>
                <w:lang w:eastAsia="en-US"/>
              </w:rPr>
              <w:t>представляет в офис обслуживания потребителей) одного  экземпляра сетевой организации с приложением к нему документов, подтверждающих полномочия лица, подписавшего такой договор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29D" w:rsidRDefault="00CE629D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29D" w:rsidRDefault="00CE629D">
            <w:pPr>
              <w:pStyle w:val="a3"/>
              <w:autoSpaceDE w:val="0"/>
              <w:autoSpaceDN w:val="0"/>
              <w:adjustRightInd w:val="0"/>
              <w:spacing w:line="276" w:lineRule="auto"/>
              <w:ind w:left="34"/>
              <w:rPr>
                <w:lang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</w:t>
            </w:r>
            <w:r>
              <w:rPr>
                <w:sz w:val="22"/>
                <w:szCs w:val="22"/>
                <w:lang w:eastAsia="en-US"/>
              </w:rPr>
              <w:t xml:space="preserve">0 </w:t>
            </w:r>
            <w:r>
              <w:rPr>
                <w:sz w:val="22"/>
                <w:szCs w:val="22"/>
                <w:lang w:val="ru-RU" w:eastAsia="en-US"/>
              </w:rPr>
              <w:t xml:space="preserve">рабочих </w:t>
            </w:r>
            <w:r>
              <w:rPr>
                <w:sz w:val="22"/>
                <w:szCs w:val="22"/>
                <w:lang w:eastAsia="en-US"/>
              </w:rPr>
              <w:t xml:space="preserve">дней </w:t>
            </w:r>
            <w:proofErr w:type="gramStart"/>
            <w:r>
              <w:rPr>
                <w:sz w:val="22"/>
                <w:szCs w:val="22"/>
                <w:lang w:eastAsia="en-US"/>
              </w:rPr>
              <w:t>со  дня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получения заявителем проекта договора.</w:t>
            </w:r>
          </w:p>
          <w:p w:rsidR="00CE629D" w:rsidRDefault="00CE629D">
            <w:pPr>
              <w:pStyle w:val="a3"/>
              <w:autoSpaceDE w:val="0"/>
              <w:autoSpaceDN w:val="0"/>
              <w:adjustRightInd w:val="0"/>
              <w:spacing w:line="276" w:lineRule="auto"/>
              <w:ind w:left="34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 случае </w:t>
            </w:r>
            <w:proofErr w:type="spellStart"/>
            <w:r>
              <w:rPr>
                <w:sz w:val="22"/>
                <w:szCs w:val="22"/>
                <w:lang w:eastAsia="en-US"/>
              </w:rPr>
              <w:t>ненаправления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 подписанного проекта договора  либо мотивированного отказа от его подписания через </w:t>
            </w:r>
            <w:r>
              <w:rPr>
                <w:sz w:val="22"/>
                <w:szCs w:val="22"/>
                <w:lang w:val="ru-RU" w:eastAsia="en-US"/>
              </w:rPr>
              <w:t>3</w:t>
            </w:r>
            <w:r>
              <w:rPr>
                <w:sz w:val="22"/>
                <w:szCs w:val="22"/>
                <w:lang w:eastAsia="en-US"/>
              </w:rPr>
              <w:t xml:space="preserve">0 </w:t>
            </w:r>
            <w:r>
              <w:rPr>
                <w:sz w:val="22"/>
                <w:szCs w:val="22"/>
                <w:lang w:val="ru-RU" w:eastAsia="en-US"/>
              </w:rPr>
              <w:t xml:space="preserve">рабочих </w:t>
            </w:r>
            <w:r>
              <w:rPr>
                <w:sz w:val="22"/>
                <w:szCs w:val="22"/>
                <w:lang w:eastAsia="en-US"/>
              </w:rPr>
              <w:t xml:space="preserve">дней </w:t>
            </w:r>
            <w:r>
              <w:rPr>
                <w:sz w:val="22"/>
                <w:szCs w:val="22"/>
                <w:lang w:val="ru-RU" w:eastAsia="en-US"/>
              </w:rPr>
              <w:t>со дня получения оферты</w:t>
            </w:r>
            <w:r>
              <w:rPr>
                <w:sz w:val="22"/>
                <w:szCs w:val="22"/>
                <w:lang w:eastAsia="en-US"/>
              </w:rPr>
              <w:t xml:space="preserve"> –  заявка аннулируется.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29D" w:rsidRDefault="00CE629D">
            <w:pPr>
              <w:autoSpaceDE w:val="0"/>
              <w:autoSpaceDN w:val="0"/>
              <w:adjustRightInd w:val="0"/>
              <w:spacing w:line="276" w:lineRule="auto"/>
              <w:ind w:left="-16" w:hanging="16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Пункт 15 Правил технологического присоединения </w:t>
            </w:r>
            <w:proofErr w:type="spellStart"/>
            <w:r>
              <w:rPr>
                <w:sz w:val="22"/>
                <w:szCs w:val="22"/>
                <w:lang w:eastAsia="en-US"/>
              </w:rPr>
              <w:t>энергопринимающих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устройств потребителей электрической энергии</w:t>
            </w:r>
          </w:p>
        </w:tc>
      </w:tr>
      <w:tr w:rsidR="00CE629D" w:rsidTr="00744830">
        <w:trPr>
          <w:trHeight w:val="86"/>
        </w:trPr>
        <w:tc>
          <w:tcPr>
            <w:tcW w:w="1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29D" w:rsidRDefault="00CE629D">
            <w:pPr>
              <w:rPr>
                <w:b/>
                <w:bCs/>
                <w:lang w:eastAsia="en-US"/>
              </w:rPr>
            </w:pPr>
          </w:p>
        </w:tc>
        <w:tc>
          <w:tcPr>
            <w:tcW w:w="6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29D" w:rsidRDefault="00CE629D">
            <w:pPr>
              <w:rPr>
                <w:lang w:eastAsia="en-US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29D" w:rsidRDefault="00CE629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 случае несогласия заявителя с представленным сетевой организацией проектом договора и (или) несоответствия его Правилам </w:t>
            </w:r>
          </w:p>
          <w:p w:rsidR="00CE629D" w:rsidRDefault="00CE629D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29D" w:rsidRDefault="00CE629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4.4.</w:t>
            </w:r>
            <w:r>
              <w:rPr>
                <w:sz w:val="22"/>
                <w:szCs w:val="22"/>
                <w:lang w:eastAsia="en-US"/>
              </w:rPr>
              <w:t xml:space="preserve"> Заявитель направляет сетевой организации мотивированный отказ от подписания проекта договора с предложением об изменении представленного проекта договора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29D" w:rsidRDefault="00CE629D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Письменная форма мотивированного отказа, направляется способом, позволяющим подтвердить факт получения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29D" w:rsidRDefault="00CE629D">
            <w:pPr>
              <w:pStyle w:val="a3"/>
              <w:autoSpaceDE w:val="0"/>
              <w:autoSpaceDN w:val="0"/>
              <w:adjustRightInd w:val="0"/>
              <w:spacing w:line="276" w:lineRule="auto"/>
              <w:ind w:left="34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 течение </w:t>
            </w:r>
            <w:r>
              <w:rPr>
                <w:sz w:val="22"/>
                <w:szCs w:val="22"/>
                <w:lang w:val="ru-RU" w:eastAsia="en-US"/>
              </w:rPr>
              <w:t>1</w:t>
            </w:r>
            <w:r>
              <w:rPr>
                <w:sz w:val="22"/>
                <w:szCs w:val="22"/>
                <w:lang w:eastAsia="en-US"/>
              </w:rPr>
              <w:t>0</w:t>
            </w:r>
            <w:r>
              <w:rPr>
                <w:sz w:val="22"/>
                <w:szCs w:val="22"/>
                <w:lang w:val="ru-RU" w:eastAsia="en-US"/>
              </w:rPr>
              <w:t xml:space="preserve"> рабочих</w:t>
            </w:r>
            <w:r>
              <w:rPr>
                <w:sz w:val="22"/>
                <w:szCs w:val="22"/>
                <w:lang w:eastAsia="en-US"/>
              </w:rPr>
              <w:t xml:space="preserve"> дней со дня получения подписанного сетевой организацией проекта договора и технических условий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29D" w:rsidRDefault="00CE629D">
            <w:pPr>
              <w:autoSpaceDE w:val="0"/>
              <w:autoSpaceDN w:val="0"/>
              <w:adjustRightInd w:val="0"/>
              <w:spacing w:line="276" w:lineRule="auto"/>
              <w:ind w:left="-16" w:hanging="16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Пункт 15 Правил технологического присоединения </w:t>
            </w:r>
            <w:proofErr w:type="spellStart"/>
            <w:r>
              <w:rPr>
                <w:sz w:val="22"/>
                <w:szCs w:val="22"/>
                <w:lang w:eastAsia="en-US"/>
              </w:rPr>
              <w:t>энергопринимающих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устройств потребителей электрической энергии</w:t>
            </w:r>
          </w:p>
        </w:tc>
      </w:tr>
      <w:tr w:rsidR="00CE629D" w:rsidTr="00744830">
        <w:trPr>
          <w:trHeight w:val="86"/>
        </w:trPr>
        <w:tc>
          <w:tcPr>
            <w:tcW w:w="1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29D" w:rsidRDefault="00CE629D">
            <w:pPr>
              <w:rPr>
                <w:b/>
                <w:bCs/>
                <w:lang w:eastAsia="en-US"/>
              </w:rPr>
            </w:pPr>
          </w:p>
        </w:tc>
        <w:tc>
          <w:tcPr>
            <w:tcW w:w="6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29D" w:rsidRDefault="00CE629D">
            <w:pPr>
              <w:rPr>
                <w:lang w:eastAsia="en-US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29D" w:rsidRDefault="00CE629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29D" w:rsidRDefault="00CE629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4.5. </w:t>
            </w:r>
            <w:r>
              <w:rPr>
                <w:sz w:val="22"/>
                <w:szCs w:val="22"/>
                <w:lang w:eastAsia="en-US"/>
              </w:rPr>
              <w:t xml:space="preserve">Направление (выдача при очном посещении офиса обслуживания) сетевой организацией откорректированного проекта договора об осуществлении технологического </w:t>
            </w:r>
            <w:proofErr w:type="gramStart"/>
            <w:r>
              <w:rPr>
                <w:sz w:val="22"/>
                <w:szCs w:val="22"/>
                <w:lang w:eastAsia="en-US"/>
              </w:rPr>
              <w:t>присоединения  с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 техническими условиями вследствие получения от заявителя мотивированного отказа от подписания проекта договора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29D" w:rsidRDefault="00CE629D" w:rsidP="00406D70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Письменная форма проекта договора, подписанного со стороны сетевой организации, направляется способом, позволяющим подтвердить факт получени</w:t>
            </w:r>
            <w:r w:rsidR="00406D70">
              <w:rPr>
                <w:sz w:val="22"/>
                <w:szCs w:val="22"/>
                <w:lang w:eastAsia="en-US"/>
              </w:rPr>
              <w:t>я, или выдача заявителю в офисе.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29D" w:rsidRDefault="00CE629D">
            <w:pPr>
              <w:pStyle w:val="a3"/>
              <w:autoSpaceDE w:val="0"/>
              <w:autoSpaceDN w:val="0"/>
              <w:adjustRightInd w:val="0"/>
              <w:spacing w:line="276" w:lineRule="auto"/>
              <w:ind w:left="34"/>
              <w:rPr>
                <w:lang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10</w:t>
            </w:r>
            <w:r>
              <w:rPr>
                <w:sz w:val="22"/>
                <w:szCs w:val="22"/>
                <w:lang w:eastAsia="en-US"/>
              </w:rPr>
              <w:t xml:space="preserve"> рабочих дней с даты получения от заявителя мотивированного требования о приведении проекта договора в соответствие с Правилами ТП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29D" w:rsidRDefault="00CE629D">
            <w:pPr>
              <w:autoSpaceDE w:val="0"/>
              <w:autoSpaceDN w:val="0"/>
              <w:adjustRightInd w:val="0"/>
              <w:spacing w:line="276" w:lineRule="auto"/>
              <w:ind w:left="-16" w:hanging="16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Пункт 15 Правил технологического присоединения </w:t>
            </w:r>
            <w:proofErr w:type="spellStart"/>
            <w:r>
              <w:rPr>
                <w:sz w:val="22"/>
                <w:szCs w:val="22"/>
                <w:lang w:eastAsia="en-US"/>
              </w:rPr>
              <w:t>энергопринимающих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устройств потребителей электрической энергии</w:t>
            </w:r>
          </w:p>
        </w:tc>
      </w:tr>
      <w:tr w:rsidR="00CE629D" w:rsidTr="00744830">
        <w:trPr>
          <w:trHeight w:val="86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29D" w:rsidRDefault="00CE629D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29D" w:rsidRDefault="00CE629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Сетевая организация направляет лицу, максимальная мощность которого перераспределяе</w:t>
            </w:r>
            <w:r>
              <w:rPr>
                <w:sz w:val="22"/>
                <w:szCs w:val="22"/>
                <w:lang w:eastAsia="en-US"/>
              </w:rPr>
              <w:lastRenderedPageBreak/>
              <w:t xml:space="preserve">тся, информацию об изменениях в ранее выданные ему технические условия 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29D" w:rsidRDefault="00CE629D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29D" w:rsidRDefault="00CE629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5.1. В случае технические условия подлежат согласованию с субъектом оперативно-диспетчерского управления, предварительно сетевая организация проводит согласование с субъектом оперативно-диспетчерского </w:t>
            </w:r>
            <w:r>
              <w:rPr>
                <w:sz w:val="22"/>
                <w:szCs w:val="22"/>
                <w:lang w:eastAsia="en-US"/>
              </w:rPr>
              <w:lastRenderedPageBreak/>
              <w:t>управления и срок продлевается на срок согласования изменений, внесенных в технические условия.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29D" w:rsidRDefault="00CE629D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29D" w:rsidRDefault="00CE629D" w:rsidP="00744830">
            <w:pPr>
              <w:pStyle w:val="a3"/>
              <w:autoSpaceDE w:val="0"/>
              <w:autoSpaceDN w:val="0"/>
              <w:adjustRightInd w:val="0"/>
              <w:spacing w:line="276" w:lineRule="auto"/>
              <w:ind w:left="34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не позднее 10 рабочих дней со дня выдачи технических условий лицу, в пользу которого перераспределяется максимальная мощность 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29D" w:rsidRDefault="00CE629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Пункт 38 Правил технологического присоединения </w:t>
            </w:r>
            <w:proofErr w:type="spellStart"/>
            <w:r>
              <w:rPr>
                <w:sz w:val="22"/>
                <w:szCs w:val="22"/>
                <w:lang w:eastAsia="en-US"/>
              </w:rPr>
              <w:t>энергопринимающих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устройств потребителей электрической энергии</w:t>
            </w:r>
          </w:p>
        </w:tc>
      </w:tr>
      <w:tr w:rsidR="00CE629D" w:rsidTr="00744830">
        <w:trPr>
          <w:trHeight w:val="695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29D" w:rsidRDefault="00CE629D">
            <w:pPr>
              <w:spacing w:line="276" w:lineRule="auto"/>
              <w:jc w:val="both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lastRenderedPageBreak/>
              <w:t>6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29D" w:rsidRDefault="00CE629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Сетевая организация направляет копии переоформленных документов 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29D" w:rsidRDefault="00CE629D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29D" w:rsidRDefault="00CE629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6.1. Копии переоформленных технических условий и акта об осуществлении технологического присоединения лица, осуществившего перераспределение максимальной мощности в пользу иного лица или в пользу сетевой организации, </w:t>
            </w:r>
          </w:p>
          <w:p w:rsidR="00CE629D" w:rsidRDefault="00CE629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акта об осуществлении технологического присоединения лица, в чью пользу была перераспределена максимальная мощность, субъекту розничного рынка, с которым у лица, осуществившего перераспределение максимальной мощности, заключен договор энергоснабжения (купли-продажи (поставки) электрической энергии (мощности). 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29D" w:rsidRDefault="00CE629D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Письменная форма, направляется способом, позволяющим подтвердить факт получения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29D" w:rsidRDefault="00CE629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в срок, не превышающий 3 дней со дня оформления таких документов</w:t>
            </w:r>
          </w:p>
          <w:p w:rsidR="00CE629D" w:rsidRDefault="00CE629D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29D" w:rsidRDefault="00CE629D">
            <w:pPr>
              <w:autoSpaceDE w:val="0"/>
              <w:autoSpaceDN w:val="0"/>
              <w:adjustRightInd w:val="0"/>
              <w:spacing w:line="276" w:lineRule="auto"/>
              <w:ind w:left="-16" w:hanging="16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Пункт 38(3) Правил технологического присоединения </w:t>
            </w:r>
            <w:proofErr w:type="spellStart"/>
            <w:r>
              <w:rPr>
                <w:sz w:val="22"/>
                <w:szCs w:val="22"/>
                <w:lang w:eastAsia="en-US"/>
              </w:rPr>
              <w:t>энергопринимающих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устройств потребителей электрической энергии</w:t>
            </w:r>
          </w:p>
        </w:tc>
      </w:tr>
      <w:tr w:rsidR="00CE629D" w:rsidTr="00744830">
        <w:trPr>
          <w:trHeight w:val="695"/>
        </w:trPr>
        <w:tc>
          <w:tcPr>
            <w:tcW w:w="1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29D" w:rsidRDefault="00CE629D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lastRenderedPageBreak/>
              <w:t>7</w:t>
            </w:r>
          </w:p>
        </w:tc>
        <w:tc>
          <w:tcPr>
            <w:tcW w:w="6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29D" w:rsidRDefault="00CE629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Выполнение сторонами мероприятий по технологическому присоединению, предусмотренных договором</w:t>
            </w:r>
          </w:p>
        </w:tc>
        <w:tc>
          <w:tcPr>
            <w:tcW w:w="7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29D" w:rsidRDefault="00CE629D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Заключенный договор об осуществлении технологического присоединения с заявителем, в пользу которого перераспределяется мощность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29D" w:rsidRDefault="00CE629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7.1</w:t>
            </w:r>
            <w:r>
              <w:rPr>
                <w:sz w:val="22"/>
                <w:szCs w:val="22"/>
                <w:lang w:eastAsia="en-US"/>
              </w:rPr>
              <w:t>. Оплата услуг по договору об осуществлении технологического присоединения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29D" w:rsidRDefault="00CE629D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29D" w:rsidRDefault="00CE629D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 соответствии с условиями договора</w:t>
            </w:r>
          </w:p>
        </w:tc>
        <w:tc>
          <w:tcPr>
            <w:tcW w:w="8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29D" w:rsidRDefault="00CE629D">
            <w:pPr>
              <w:autoSpaceDE w:val="0"/>
              <w:autoSpaceDN w:val="0"/>
              <w:adjustRightInd w:val="0"/>
              <w:spacing w:line="276" w:lineRule="auto"/>
              <w:ind w:left="-16" w:hanging="16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Пункт 16, 18, 38 Правил технологического присоединения </w:t>
            </w:r>
            <w:proofErr w:type="spellStart"/>
            <w:r>
              <w:rPr>
                <w:sz w:val="22"/>
                <w:szCs w:val="22"/>
                <w:lang w:eastAsia="en-US"/>
              </w:rPr>
              <w:t>энергопринимающих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устройств потребителей электрической энергии</w:t>
            </w:r>
          </w:p>
        </w:tc>
      </w:tr>
      <w:tr w:rsidR="00CE629D" w:rsidTr="00744830">
        <w:trPr>
          <w:trHeight w:val="695"/>
        </w:trPr>
        <w:tc>
          <w:tcPr>
            <w:tcW w:w="1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29D" w:rsidRDefault="00CE629D">
            <w:pPr>
              <w:rPr>
                <w:b/>
                <w:bCs/>
                <w:lang w:eastAsia="en-US"/>
              </w:rPr>
            </w:pPr>
          </w:p>
        </w:tc>
        <w:tc>
          <w:tcPr>
            <w:tcW w:w="6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29D" w:rsidRDefault="00CE629D">
            <w:pPr>
              <w:rPr>
                <w:lang w:eastAsia="en-US"/>
              </w:rPr>
            </w:pPr>
          </w:p>
        </w:tc>
        <w:tc>
          <w:tcPr>
            <w:tcW w:w="7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29D" w:rsidRDefault="00CE629D">
            <w:pPr>
              <w:rPr>
                <w:lang w:eastAsia="en-US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29D" w:rsidRDefault="00CE629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7.2</w:t>
            </w:r>
            <w:r>
              <w:rPr>
                <w:sz w:val="22"/>
                <w:szCs w:val="22"/>
                <w:lang w:eastAsia="en-US"/>
              </w:rPr>
              <w:t>. Выполнение сетевой организацией мероприятий, предусмотренных договором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29D" w:rsidRDefault="00CE629D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29D" w:rsidRDefault="00CE629D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 соответствии с условиями договора</w:t>
            </w:r>
          </w:p>
        </w:tc>
        <w:tc>
          <w:tcPr>
            <w:tcW w:w="8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29D" w:rsidRDefault="00CE629D">
            <w:pPr>
              <w:rPr>
                <w:lang w:eastAsia="en-US"/>
              </w:rPr>
            </w:pPr>
          </w:p>
        </w:tc>
      </w:tr>
      <w:tr w:rsidR="00CE629D" w:rsidTr="00744830">
        <w:trPr>
          <w:trHeight w:val="695"/>
        </w:trPr>
        <w:tc>
          <w:tcPr>
            <w:tcW w:w="1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29D" w:rsidRDefault="00CE629D">
            <w:pPr>
              <w:rPr>
                <w:b/>
                <w:bCs/>
                <w:lang w:eastAsia="en-US"/>
              </w:rPr>
            </w:pPr>
          </w:p>
        </w:tc>
        <w:tc>
          <w:tcPr>
            <w:tcW w:w="6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29D" w:rsidRDefault="00CE629D">
            <w:pPr>
              <w:rPr>
                <w:lang w:eastAsia="en-US"/>
              </w:rPr>
            </w:pPr>
          </w:p>
        </w:tc>
        <w:tc>
          <w:tcPr>
            <w:tcW w:w="7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29D" w:rsidRDefault="00CE629D">
            <w:pPr>
              <w:rPr>
                <w:lang w:eastAsia="en-US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29D" w:rsidRDefault="00CE629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7.3</w:t>
            </w:r>
            <w:r>
              <w:rPr>
                <w:sz w:val="22"/>
                <w:szCs w:val="22"/>
                <w:lang w:eastAsia="en-US"/>
              </w:rPr>
              <w:t xml:space="preserve">. Выполнение заявителем, мощность которого перераспределяется, мероприятий по уменьшению мощности </w:t>
            </w:r>
            <w:proofErr w:type="spellStart"/>
            <w:r>
              <w:rPr>
                <w:sz w:val="22"/>
                <w:szCs w:val="22"/>
                <w:lang w:eastAsia="en-US"/>
              </w:rPr>
              <w:t>энергопринимающих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устройств в соответствии с техническими условиями 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29D" w:rsidRDefault="00CE629D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29D" w:rsidRDefault="00CE629D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До завершения срока осуществления мероприятий по присоединению </w:t>
            </w:r>
            <w:proofErr w:type="spellStart"/>
            <w:r>
              <w:rPr>
                <w:sz w:val="22"/>
                <w:szCs w:val="22"/>
                <w:lang w:eastAsia="en-US"/>
              </w:rPr>
              <w:t>энергопринимающих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устройств лица, в пользу которого перераспределяется мощность</w:t>
            </w:r>
          </w:p>
        </w:tc>
        <w:tc>
          <w:tcPr>
            <w:tcW w:w="8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29D" w:rsidRDefault="00CE629D">
            <w:pPr>
              <w:rPr>
                <w:lang w:eastAsia="en-US"/>
              </w:rPr>
            </w:pPr>
          </w:p>
        </w:tc>
      </w:tr>
      <w:tr w:rsidR="00CE629D" w:rsidTr="00744830">
        <w:trPr>
          <w:trHeight w:val="695"/>
        </w:trPr>
        <w:tc>
          <w:tcPr>
            <w:tcW w:w="1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29D" w:rsidRDefault="00CE629D">
            <w:pPr>
              <w:rPr>
                <w:b/>
                <w:bCs/>
                <w:lang w:eastAsia="en-US"/>
              </w:rPr>
            </w:pPr>
          </w:p>
        </w:tc>
        <w:tc>
          <w:tcPr>
            <w:tcW w:w="6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29D" w:rsidRDefault="00CE629D">
            <w:pPr>
              <w:rPr>
                <w:lang w:eastAsia="en-US"/>
              </w:rPr>
            </w:pPr>
          </w:p>
        </w:tc>
        <w:tc>
          <w:tcPr>
            <w:tcW w:w="7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29D" w:rsidRDefault="00CE629D">
            <w:pPr>
              <w:rPr>
                <w:lang w:eastAsia="en-US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29D" w:rsidRDefault="00CE629D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7.4</w:t>
            </w:r>
            <w:r>
              <w:rPr>
                <w:sz w:val="22"/>
                <w:szCs w:val="22"/>
                <w:lang w:eastAsia="en-US"/>
              </w:rPr>
              <w:t>. Выполнение заявителем, в пользу которого перераспределяется мощность, мероприятий, предусмотренных договором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29D" w:rsidRDefault="00CE629D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29D" w:rsidRDefault="00CE629D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 соответствии с условиями договора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29D" w:rsidRDefault="00CE629D">
            <w:pPr>
              <w:autoSpaceDE w:val="0"/>
              <w:autoSpaceDN w:val="0"/>
              <w:adjustRightInd w:val="0"/>
              <w:spacing w:line="276" w:lineRule="auto"/>
              <w:ind w:left="-16" w:hanging="16"/>
              <w:jc w:val="both"/>
              <w:rPr>
                <w:lang w:eastAsia="en-US"/>
              </w:rPr>
            </w:pPr>
          </w:p>
        </w:tc>
      </w:tr>
      <w:tr w:rsidR="00CE629D" w:rsidTr="00744830">
        <w:trPr>
          <w:trHeight w:val="695"/>
        </w:trPr>
        <w:tc>
          <w:tcPr>
            <w:tcW w:w="1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29D" w:rsidRDefault="00CE629D">
            <w:pPr>
              <w:rPr>
                <w:b/>
                <w:bCs/>
                <w:lang w:eastAsia="en-US"/>
              </w:rPr>
            </w:pPr>
          </w:p>
        </w:tc>
        <w:tc>
          <w:tcPr>
            <w:tcW w:w="6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29D" w:rsidRDefault="00CE629D">
            <w:pPr>
              <w:rPr>
                <w:lang w:eastAsia="en-US"/>
              </w:rPr>
            </w:pPr>
          </w:p>
        </w:tc>
        <w:tc>
          <w:tcPr>
            <w:tcW w:w="7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29D" w:rsidRDefault="00CE629D">
            <w:pPr>
              <w:rPr>
                <w:lang w:eastAsia="en-US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29D" w:rsidRDefault="00CE629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7.5</w:t>
            </w:r>
            <w:r>
              <w:rPr>
                <w:sz w:val="22"/>
                <w:szCs w:val="22"/>
                <w:lang w:eastAsia="en-US"/>
              </w:rPr>
              <w:t>. Направление уведомления заявителем, в пользу которого перераспределяется мощность, сетевой организации о выполнении технических условий с пакетом необходимых документов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29D" w:rsidRDefault="00CE629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Письменное уведомление о выполнении технических условий с приложением необходимых документов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29D" w:rsidRDefault="00CE629D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После выполнения технических условий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29D" w:rsidRDefault="00CE629D">
            <w:pPr>
              <w:autoSpaceDE w:val="0"/>
              <w:autoSpaceDN w:val="0"/>
              <w:adjustRightInd w:val="0"/>
              <w:spacing w:line="276" w:lineRule="auto"/>
              <w:ind w:left="-16" w:hanging="16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Пункты 85, 86, 93Правил технологического присоединения </w:t>
            </w:r>
            <w:proofErr w:type="spellStart"/>
            <w:r>
              <w:rPr>
                <w:sz w:val="22"/>
                <w:szCs w:val="22"/>
                <w:lang w:eastAsia="en-US"/>
              </w:rPr>
              <w:t>энергопринимающих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устройств потребителей электрической энергии</w:t>
            </w:r>
          </w:p>
        </w:tc>
      </w:tr>
      <w:tr w:rsidR="00CE629D" w:rsidTr="00744830">
        <w:trPr>
          <w:trHeight w:val="695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29D" w:rsidRDefault="00CE629D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29D" w:rsidRDefault="00CE629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29D" w:rsidRDefault="00CE629D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При необходимости согласования сетевой организации технических условий с системным оператором 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29D" w:rsidRDefault="00CE629D" w:rsidP="007448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7.6</w:t>
            </w:r>
            <w:r>
              <w:rPr>
                <w:sz w:val="22"/>
                <w:szCs w:val="22"/>
                <w:lang w:eastAsia="en-US"/>
              </w:rPr>
              <w:t xml:space="preserve">.Направление </w:t>
            </w:r>
            <w:proofErr w:type="gramStart"/>
            <w:r>
              <w:rPr>
                <w:sz w:val="22"/>
                <w:szCs w:val="22"/>
                <w:lang w:eastAsia="en-US"/>
              </w:rPr>
              <w:t>сетевой  организацией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уведомления о готовности заявителя к проверке выполнения технических условий субъекту оперативно-диспетчерского управления копии уведомления и приложенных к нему документов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29D" w:rsidRDefault="00CE629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Копии уведомления заявителя с необходимым пакетом документов способом, позволяющим подтвердить факт получения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29D" w:rsidRDefault="00CE629D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 течение 2 дней со дня получения от заявителя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29D" w:rsidRDefault="00CE629D">
            <w:pPr>
              <w:autoSpaceDE w:val="0"/>
              <w:autoSpaceDN w:val="0"/>
              <w:adjustRightInd w:val="0"/>
              <w:spacing w:line="276" w:lineRule="auto"/>
              <w:ind w:left="-16" w:hanging="16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Пункты 94 Правил технологического присоединения </w:t>
            </w:r>
            <w:proofErr w:type="spellStart"/>
            <w:r>
              <w:rPr>
                <w:sz w:val="22"/>
                <w:szCs w:val="22"/>
                <w:lang w:eastAsia="en-US"/>
              </w:rPr>
              <w:t>энергопринимающих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устройств потребителей электрической энергии</w:t>
            </w:r>
          </w:p>
        </w:tc>
      </w:tr>
      <w:tr w:rsidR="00CE629D" w:rsidTr="00744830">
        <w:trPr>
          <w:trHeight w:val="6052"/>
        </w:trPr>
        <w:tc>
          <w:tcPr>
            <w:tcW w:w="1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29D" w:rsidRDefault="00CE629D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6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29D" w:rsidRDefault="00CE629D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Проверка выполнения технических условий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29D" w:rsidRDefault="00CE629D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Направление   заявителем сетевой организацией уведомления о выполнении технических условий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29D" w:rsidRDefault="00CE629D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8.1.</w:t>
            </w:r>
            <w:r>
              <w:rPr>
                <w:sz w:val="22"/>
                <w:szCs w:val="22"/>
                <w:lang w:eastAsia="en-US"/>
              </w:rPr>
              <w:t xml:space="preserve"> Проверка соответствия технических решений, параметров оборудования (устройств) и проведенных мероприятий требованиям технических условий. Осмотр (обследование) электроустановок заявителей. Мероприятия по проверке выполнения технических условий проводятся непосредственно в процессе проведения осмотра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29D" w:rsidRDefault="002127C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hyperlink r:id="rId7" w:history="1">
              <w:r w:rsidR="00CE629D">
                <w:rPr>
                  <w:rStyle w:val="a5"/>
                  <w:color w:val="auto"/>
                  <w:sz w:val="22"/>
                  <w:szCs w:val="22"/>
                  <w:lang w:eastAsia="en-US"/>
                </w:rPr>
                <w:t>Акт</w:t>
              </w:r>
            </w:hyperlink>
            <w:r w:rsidR="00CE629D">
              <w:rPr>
                <w:sz w:val="22"/>
                <w:szCs w:val="22"/>
                <w:lang w:eastAsia="en-US"/>
              </w:rPr>
              <w:t xml:space="preserve"> о выполнении технических условий.</w:t>
            </w:r>
          </w:p>
          <w:p w:rsidR="00CE629D" w:rsidRDefault="00CE629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При невыполнении требований технических условий сетевая организация в письменной форме уведомляет об этом заявителя.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29D" w:rsidRDefault="00CE629D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 течение 10 дней со дня получения от заявителя документов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(с учетом направления заявителю подписанного сетевой организацией акта о выполнении технических условий); в течение 25 дней - с учетом выдачи заявителю подписанных со стороны сетевой организации и субъекта оперативно-диспетчерского управления акта о выполнении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технических условий.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29D" w:rsidRDefault="00CE629D">
            <w:pPr>
              <w:autoSpaceDE w:val="0"/>
              <w:autoSpaceDN w:val="0"/>
              <w:adjustRightInd w:val="0"/>
              <w:spacing w:line="276" w:lineRule="auto"/>
              <w:ind w:left="-16" w:hanging="16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Пункты 83-102 Правил технологического присоединения </w:t>
            </w:r>
            <w:proofErr w:type="spellStart"/>
            <w:r>
              <w:rPr>
                <w:sz w:val="22"/>
                <w:szCs w:val="22"/>
                <w:lang w:eastAsia="en-US"/>
              </w:rPr>
              <w:t>энергопринимающих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устройств потребителей электрической энергии</w:t>
            </w:r>
          </w:p>
        </w:tc>
      </w:tr>
      <w:tr w:rsidR="00CE629D" w:rsidTr="00744830">
        <w:trPr>
          <w:trHeight w:val="695"/>
        </w:trPr>
        <w:tc>
          <w:tcPr>
            <w:tcW w:w="1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29D" w:rsidRDefault="00CE629D">
            <w:pPr>
              <w:rPr>
                <w:b/>
                <w:bCs/>
                <w:lang w:eastAsia="en-US"/>
              </w:rPr>
            </w:pPr>
          </w:p>
        </w:tc>
        <w:tc>
          <w:tcPr>
            <w:tcW w:w="6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29D" w:rsidRDefault="00CE629D">
            <w:pPr>
              <w:rPr>
                <w:lang w:eastAsia="en-US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29D" w:rsidRDefault="00CE629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Если представители субъекта оперативно-диспетчерского управления участвовали в осмотре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29D" w:rsidRDefault="00CE629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8.2.</w:t>
            </w:r>
            <w:r>
              <w:rPr>
                <w:sz w:val="22"/>
                <w:szCs w:val="22"/>
                <w:lang w:eastAsia="en-US"/>
              </w:rPr>
              <w:t xml:space="preserve"> Согласование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перечня выявленных замечаний, подлежащих устранению,</w:t>
            </w:r>
          </w:p>
          <w:p w:rsidR="00CE629D" w:rsidRDefault="00CE629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составляемого </w:t>
            </w:r>
            <w:proofErr w:type="gramStart"/>
            <w:r>
              <w:rPr>
                <w:rFonts w:eastAsiaTheme="minorHAnsi"/>
                <w:sz w:val="22"/>
                <w:szCs w:val="22"/>
                <w:lang w:eastAsia="en-US"/>
              </w:rPr>
              <w:t>по  результатам</w:t>
            </w:r>
            <w:proofErr w:type="gramEnd"/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осмотра</w:t>
            </w:r>
          </w:p>
          <w:p w:rsidR="00CE629D" w:rsidRDefault="00CE629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электроустановки, подлежит согласованию с субъектом оперативно-диспетчерского управления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29D" w:rsidRDefault="00CE629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Перечень выявленных замечаний, подлежащих устранению</w:t>
            </w:r>
          </w:p>
          <w:p w:rsidR="00CE629D" w:rsidRDefault="00CE629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29D" w:rsidRDefault="00CE629D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29D" w:rsidRDefault="00CE629D">
            <w:pPr>
              <w:autoSpaceDE w:val="0"/>
              <w:autoSpaceDN w:val="0"/>
              <w:adjustRightInd w:val="0"/>
              <w:spacing w:line="276" w:lineRule="auto"/>
              <w:ind w:left="-16" w:hanging="16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Пункт 97 Правил технологического присоединения </w:t>
            </w:r>
            <w:proofErr w:type="spellStart"/>
            <w:r>
              <w:rPr>
                <w:sz w:val="22"/>
                <w:szCs w:val="22"/>
                <w:lang w:eastAsia="en-US"/>
              </w:rPr>
              <w:t>энергопринимающих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устройств потребителей электрической энергии</w:t>
            </w:r>
          </w:p>
        </w:tc>
      </w:tr>
      <w:tr w:rsidR="00CE629D" w:rsidTr="00744830">
        <w:trPr>
          <w:trHeight w:val="695"/>
        </w:trPr>
        <w:tc>
          <w:tcPr>
            <w:tcW w:w="1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29D" w:rsidRDefault="00CE629D">
            <w:pPr>
              <w:rPr>
                <w:b/>
                <w:bCs/>
                <w:lang w:eastAsia="en-US"/>
              </w:rPr>
            </w:pPr>
          </w:p>
        </w:tc>
        <w:tc>
          <w:tcPr>
            <w:tcW w:w="6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29D" w:rsidRDefault="00CE629D">
            <w:pPr>
              <w:rPr>
                <w:lang w:eastAsia="en-US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29D" w:rsidRDefault="00CE629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 случаях присоединения </w:t>
            </w:r>
            <w:proofErr w:type="spellStart"/>
            <w:r>
              <w:rPr>
                <w:sz w:val="22"/>
                <w:szCs w:val="22"/>
                <w:lang w:eastAsia="en-US"/>
              </w:rPr>
              <w:t>энергопринимающих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устройств мощностью свыше 150 кВт и менее 670 кВт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по третьей категории надежности (по одному источнику электроснабжения) к электрическим сетям классом напряжения до 20 </w:t>
            </w:r>
            <w:proofErr w:type="spellStart"/>
            <w:r>
              <w:rPr>
                <w:rFonts w:eastAsiaTheme="minorHAnsi"/>
                <w:sz w:val="22"/>
                <w:szCs w:val="22"/>
                <w:lang w:eastAsia="en-US"/>
              </w:rPr>
              <w:t>кВ</w:t>
            </w:r>
            <w:proofErr w:type="spellEnd"/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включительно, заявители - юридические лица или индивидуальные предприниматели, технологическое присоединение </w:t>
            </w:r>
            <w:proofErr w:type="spellStart"/>
            <w:r>
              <w:rPr>
                <w:rFonts w:eastAsiaTheme="minorHAnsi"/>
                <w:sz w:val="22"/>
                <w:szCs w:val="22"/>
                <w:lang w:eastAsia="en-US"/>
              </w:rPr>
              <w:t>энергопринимающих</w:t>
            </w:r>
            <w:proofErr w:type="spellEnd"/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устройств (максимальной мощностью до 150 кВт включительно с учетом ранее присоединенных в данной точке присоединения </w:t>
            </w:r>
            <w:proofErr w:type="spellStart"/>
            <w:r>
              <w:rPr>
                <w:rFonts w:eastAsiaTheme="minorHAnsi"/>
                <w:sz w:val="22"/>
                <w:szCs w:val="22"/>
                <w:lang w:eastAsia="en-US"/>
              </w:rPr>
              <w:t>энергопринимающих</w:t>
            </w:r>
            <w:proofErr w:type="spellEnd"/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 xml:space="preserve">устройств) которых осуществляется по второй категории надежности к электрическим сетям классом напряжения до 20 </w:t>
            </w:r>
            <w:proofErr w:type="spellStart"/>
            <w:r>
              <w:rPr>
                <w:rFonts w:eastAsiaTheme="minorHAnsi"/>
                <w:sz w:val="22"/>
                <w:szCs w:val="22"/>
                <w:lang w:eastAsia="en-US"/>
              </w:rPr>
              <w:t>кВ</w:t>
            </w:r>
            <w:proofErr w:type="spellEnd"/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включительно.</w:t>
            </w:r>
          </w:p>
          <w:p w:rsidR="00CE629D" w:rsidRDefault="00CE629D" w:rsidP="007448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 иных случаях -</w:t>
            </w:r>
            <w:r>
              <w:rPr>
                <w:rFonts w:eastAsiaTheme="minorHAnsi"/>
                <w:lang w:eastAsia="en-US"/>
              </w:rPr>
              <w:t xml:space="preserve"> получение разрешения органа федерального государственного энергетического надзора на допуск в эксплуатацию объектов заявителя.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29D" w:rsidRDefault="00CE629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lastRenderedPageBreak/>
              <w:t>8.3.</w:t>
            </w:r>
            <w:r>
              <w:rPr>
                <w:sz w:val="22"/>
                <w:szCs w:val="22"/>
                <w:lang w:eastAsia="en-US"/>
              </w:rPr>
              <w:t xml:space="preserve"> Потребитель направляет в адрес органа федерального государственного энергетического надзора уведомление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о готовности на ввод в эксплуатацию объектов</w:t>
            </w:r>
          </w:p>
          <w:p w:rsidR="00CE629D" w:rsidRDefault="00CE629D">
            <w:pPr>
              <w:autoSpaceDE w:val="0"/>
              <w:autoSpaceDN w:val="0"/>
              <w:adjustRightInd w:val="0"/>
              <w:spacing w:line="276" w:lineRule="auto"/>
              <w:ind w:firstLine="54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29D" w:rsidRDefault="00CE629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Письменное </w:t>
            </w:r>
            <w:proofErr w:type="gramStart"/>
            <w:r>
              <w:rPr>
                <w:sz w:val="22"/>
                <w:szCs w:val="22"/>
                <w:lang w:eastAsia="en-US"/>
              </w:rPr>
              <w:t>уведомление  способом</w:t>
            </w:r>
            <w:proofErr w:type="gramEnd"/>
            <w:r>
              <w:rPr>
                <w:sz w:val="22"/>
                <w:szCs w:val="22"/>
                <w:lang w:eastAsia="en-US"/>
              </w:rPr>
              <w:t>, позволяющим установить дату отправки и получения уведомления</w:t>
            </w:r>
          </w:p>
          <w:p w:rsidR="00CE629D" w:rsidRDefault="00CE629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29D" w:rsidRDefault="00CE629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в течение 5 дней со дня оформления акта о выполнении технических условий</w:t>
            </w:r>
          </w:p>
          <w:p w:rsidR="00CE629D" w:rsidRDefault="00CE629D" w:rsidP="007448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способом, позволяющим установить дату отправки и получения уведомления о готовности на ввод в эксплуатацию объектов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29D" w:rsidRDefault="00CE629D">
            <w:pPr>
              <w:autoSpaceDE w:val="0"/>
              <w:autoSpaceDN w:val="0"/>
              <w:adjustRightInd w:val="0"/>
              <w:spacing w:line="276" w:lineRule="auto"/>
              <w:ind w:left="-16" w:hanging="16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Пункты 7, 18 (3) Правил технологического присоединения </w:t>
            </w:r>
            <w:proofErr w:type="spellStart"/>
            <w:r>
              <w:rPr>
                <w:sz w:val="22"/>
                <w:szCs w:val="22"/>
                <w:lang w:eastAsia="en-US"/>
              </w:rPr>
              <w:t>энергопринимающих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устройств потребителей электрической энергии</w:t>
            </w:r>
          </w:p>
        </w:tc>
      </w:tr>
      <w:tr w:rsidR="00CE629D" w:rsidTr="00744830">
        <w:trPr>
          <w:trHeight w:val="695"/>
        </w:trPr>
        <w:tc>
          <w:tcPr>
            <w:tcW w:w="1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29D" w:rsidRDefault="00CE629D">
            <w:pPr>
              <w:rPr>
                <w:b/>
                <w:bCs/>
                <w:lang w:eastAsia="en-US"/>
              </w:rPr>
            </w:pPr>
          </w:p>
        </w:tc>
        <w:tc>
          <w:tcPr>
            <w:tcW w:w="6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29D" w:rsidRDefault="00CE629D">
            <w:pPr>
              <w:rPr>
                <w:lang w:eastAsia="en-US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29D" w:rsidRDefault="00CE629D" w:rsidP="007448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 иных случаях -</w:t>
            </w:r>
            <w:r>
              <w:rPr>
                <w:rFonts w:eastAsiaTheme="minorHAnsi"/>
                <w:lang w:eastAsia="en-US"/>
              </w:rPr>
              <w:t xml:space="preserve"> получение разрешения органа федерального государственного энергетического надзора на допуск в эксплуатацию объектов заявителя.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29D" w:rsidRDefault="00CE629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8.4. Получение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разрешения органа федерального государственного энергетического надзора на допуск в эксплуатацию объектов заявителя.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29D" w:rsidRDefault="00CE629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29D" w:rsidRDefault="00CE629D">
            <w:pPr>
              <w:autoSpaceDE w:val="0"/>
              <w:autoSpaceDN w:val="0"/>
              <w:adjustRightInd w:val="0"/>
              <w:spacing w:line="276" w:lineRule="auto"/>
              <w:ind w:firstLine="54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Не определен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29D" w:rsidRDefault="00CE629D">
            <w:pPr>
              <w:autoSpaceDE w:val="0"/>
              <w:autoSpaceDN w:val="0"/>
              <w:adjustRightInd w:val="0"/>
              <w:spacing w:line="276" w:lineRule="auto"/>
              <w:ind w:left="-16" w:hanging="16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Пункт 7 Правил технологического присоединения </w:t>
            </w:r>
            <w:proofErr w:type="spellStart"/>
            <w:r>
              <w:rPr>
                <w:sz w:val="22"/>
                <w:szCs w:val="22"/>
                <w:lang w:eastAsia="en-US"/>
              </w:rPr>
              <w:t>энергопринимающих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устройств потребителей электрической энергии</w:t>
            </w:r>
          </w:p>
        </w:tc>
      </w:tr>
      <w:tr w:rsidR="00CE629D" w:rsidTr="00744830">
        <w:trPr>
          <w:trHeight w:val="695"/>
        </w:trPr>
        <w:tc>
          <w:tcPr>
            <w:tcW w:w="1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29D" w:rsidRDefault="00CE629D">
            <w:pPr>
              <w:rPr>
                <w:b/>
                <w:bCs/>
                <w:lang w:eastAsia="en-US"/>
              </w:rPr>
            </w:pPr>
          </w:p>
        </w:tc>
        <w:tc>
          <w:tcPr>
            <w:tcW w:w="6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29D" w:rsidRDefault="00CE629D">
            <w:pPr>
              <w:rPr>
                <w:lang w:eastAsia="en-US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29D" w:rsidRDefault="00CE629D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 случае невыполнении заявителем требований технических условий. Сетевая организация </w:t>
            </w:r>
            <w:r>
              <w:rPr>
                <w:rFonts w:eastAsia="Calibri"/>
                <w:sz w:val="22"/>
                <w:szCs w:val="22"/>
                <w:lang w:eastAsia="en-US"/>
              </w:rPr>
              <w:t>оставляет и передает заявителю перечень замечаний, выявленных в ходе проверки и подлежащих выполнению. Повторный осмотр электроустановки заявителя осуществляется не позднее 3 рабочих дней после получения от него уведомления об устранении замечаний с приложением информации о принятых мерах по их устранению.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29D" w:rsidRDefault="00CE629D">
            <w:pPr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8.5.</w:t>
            </w:r>
            <w:r>
              <w:rPr>
                <w:sz w:val="22"/>
                <w:szCs w:val="22"/>
                <w:lang w:eastAsia="en-US"/>
              </w:rPr>
              <w:t xml:space="preserve"> Повторный осмотр электроустановки заявителя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29D" w:rsidRDefault="00CE629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перечень замечаний, выявленных в ходе проверки и подлежащих выполнению. Повторный осмотр электроустановки заявителя осуществляется.</w:t>
            </w:r>
          </w:p>
          <w:p w:rsidR="00CE629D" w:rsidRDefault="00CE629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29D" w:rsidRDefault="00CE629D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 позднее 3 рабочих дней после получения от заявителя уведомления об устранении замечаний с приложением информации о принятых мерах по их устранению.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29D" w:rsidRDefault="00CE629D">
            <w:pPr>
              <w:autoSpaceDE w:val="0"/>
              <w:autoSpaceDN w:val="0"/>
              <w:adjustRightInd w:val="0"/>
              <w:spacing w:line="276" w:lineRule="auto"/>
              <w:ind w:left="-16" w:hanging="16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Пункты 89 Правил технологического присоединения </w:t>
            </w:r>
            <w:proofErr w:type="spellStart"/>
            <w:r>
              <w:rPr>
                <w:sz w:val="22"/>
                <w:szCs w:val="22"/>
                <w:lang w:eastAsia="en-US"/>
              </w:rPr>
              <w:t>энергопринимающих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устройств потребителей электрической энергии</w:t>
            </w:r>
          </w:p>
        </w:tc>
      </w:tr>
      <w:tr w:rsidR="00CE629D" w:rsidTr="00744830">
        <w:trPr>
          <w:trHeight w:val="695"/>
        </w:trPr>
        <w:tc>
          <w:tcPr>
            <w:tcW w:w="1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29D" w:rsidRDefault="00CE629D">
            <w:pPr>
              <w:rPr>
                <w:b/>
                <w:bCs/>
                <w:lang w:eastAsia="en-US"/>
              </w:rPr>
            </w:pPr>
          </w:p>
        </w:tc>
        <w:tc>
          <w:tcPr>
            <w:tcW w:w="6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29D" w:rsidRDefault="00CE629D">
            <w:pPr>
              <w:rPr>
                <w:lang w:eastAsia="en-US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29D" w:rsidRDefault="00CE629D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29D" w:rsidRDefault="00CE629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8.6.</w:t>
            </w:r>
            <w:r>
              <w:rPr>
                <w:sz w:val="22"/>
                <w:szCs w:val="22"/>
                <w:lang w:eastAsia="en-US"/>
              </w:rPr>
              <w:t xml:space="preserve"> Прием в эксплуатацию прибора учета.</w:t>
            </w:r>
          </w:p>
          <w:p w:rsidR="00CE629D" w:rsidRDefault="00CE629D">
            <w:pPr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Подписание </w:t>
            </w:r>
            <w:proofErr w:type="gramStart"/>
            <w:r>
              <w:rPr>
                <w:sz w:val="22"/>
                <w:szCs w:val="22"/>
                <w:lang w:eastAsia="en-US"/>
              </w:rPr>
              <w:t>сторонами  и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передача Акт допуска в эксплуатацию прибора учета.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29D" w:rsidRDefault="002127C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hyperlink r:id="rId8" w:history="1">
              <w:r w:rsidR="00CE629D" w:rsidRPr="00744830">
                <w:rPr>
                  <w:rStyle w:val="a5"/>
                  <w:color w:val="auto"/>
                  <w:sz w:val="22"/>
                  <w:szCs w:val="22"/>
                  <w:u w:val="none"/>
                  <w:lang w:eastAsia="en-US"/>
                </w:rPr>
                <w:t>Акт</w:t>
              </w:r>
            </w:hyperlink>
            <w:r w:rsidR="00CE629D">
              <w:rPr>
                <w:sz w:val="22"/>
                <w:szCs w:val="22"/>
                <w:lang w:eastAsia="en-US"/>
              </w:rPr>
              <w:t xml:space="preserve"> допуска в эксплуатацию прибора учета в </w:t>
            </w:r>
            <w:r w:rsidR="00CE629D">
              <w:rPr>
                <w:sz w:val="22"/>
                <w:szCs w:val="22"/>
                <w:lang w:eastAsia="en-US"/>
              </w:rPr>
              <w:lastRenderedPageBreak/>
              <w:t>письменной форме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29D" w:rsidRDefault="00CE629D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В день проведения проверки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29D" w:rsidRDefault="00CE629D">
            <w:pPr>
              <w:autoSpaceDE w:val="0"/>
              <w:autoSpaceDN w:val="0"/>
              <w:adjustRightInd w:val="0"/>
              <w:spacing w:line="276" w:lineRule="auto"/>
              <w:ind w:left="-16" w:hanging="16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Раздел Х Основных положений функционирования </w:t>
            </w:r>
            <w:r>
              <w:rPr>
                <w:sz w:val="22"/>
                <w:szCs w:val="22"/>
                <w:lang w:eastAsia="en-US"/>
              </w:rPr>
              <w:lastRenderedPageBreak/>
              <w:t>розничных рынков электрической энергии</w:t>
            </w:r>
            <w:r>
              <w:rPr>
                <w:rStyle w:val="a6"/>
                <w:sz w:val="22"/>
                <w:szCs w:val="22"/>
                <w:lang w:eastAsia="en-US"/>
              </w:rPr>
              <w:footnoteReference w:id="2"/>
            </w:r>
          </w:p>
        </w:tc>
      </w:tr>
      <w:tr w:rsidR="00CE629D" w:rsidTr="00744830">
        <w:trPr>
          <w:trHeight w:val="695"/>
        </w:trPr>
        <w:tc>
          <w:tcPr>
            <w:tcW w:w="1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29D" w:rsidRDefault="00CE629D">
            <w:pPr>
              <w:rPr>
                <w:b/>
                <w:bCs/>
                <w:lang w:eastAsia="en-US"/>
              </w:rPr>
            </w:pPr>
          </w:p>
        </w:tc>
        <w:tc>
          <w:tcPr>
            <w:tcW w:w="6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29D" w:rsidRDefault="00CE629D">
            <w:pPr>
              <w:rPr>
                <w:lang w:eastAsia="en-US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29D" w:rsidRDefault="00CE629D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 случае выполнения </w:t>
            </w:r>
            <w:proofErr w:type="gramStart"/>
            <w:r>
              <w:rPr>
                <w:sz w:val="22"/>
                <w:szCs w:val="22"/>
                <w:lang w:eastAsia="en-US"/>
              </w:rPr>
              <w:t>заявителем  требований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технических условий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29D" w:rsidRDefault="00CE629D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8.7.</w:t>
            </w:r>
            <w:r>
              <w:rPr>
                <w:sz w:val="22"/>
                <w:szCs w:val="22"/>
                <w:lang w:eastAsia="en-US"/>
              </w:rPr>
              <w:t xml:space="preserve"> Направление (выдача) заявителю Акта о выполнении технических условий в 2 экземплярах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29D" w:rsidRDefault="00CE629D" w:rsidP="00406D7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Акт о выполнении технических условий в письменной форме </w:t>
            </w:r>
            <w:proofErr w:type="gramStart"/>
            <w:r>
              <w:rPr>
                <w:sz w:val="22"/>
                <w:szCs w:val="22"/>
                <w:lang w:eastAsia="en-US"/>
              </w:rPr>
              <w:t>направляется  способом</w:t>
            </w:r>
            <w:proofErr w:type="gramEnd"/>
            <w:r>
              <w:rPr>
                <w:sz w:val="22"/>
                <w:szCs w:val="22"/>
                <w:lang w:eastAsia="en-US"/>
              </w:rPr>
              <w:t>, позволяющим подтвердить факт получения, или выдаются заявителю в офисе</w:t>
            </w:r>
            <w:r w:rsidR="00406D70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29D" w:rsidRDefault="00CE629D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3-дневный срок после проведения осмотра</w:t>
            </w:r>
          </w:p>
          <w:p w:rsidR="00CE629D" w:rsidRDefault="00CE629D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29D" w:rsidRDefault="00CE629D">
            <w:pPr>
              <w:autoSpaceDE w:val="0"/>
              <w:autoSpaceDN w:val="0"/>
              <w:adjustRightInd w:val="0"/>
              <w:spacing w:line="276" w:lineRule="auto"/>
              <w:ind w:left="-16" w:hanging="16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Пункт 88, 99</w:t>
            </w:r>
            <w:r>
              <w:rPr>
                <w:rStyle w:val="a7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Правил технологического присоединения </w:t>
            </w:r>
            <w:proofErr w:type="spellStart"/>
            <w:r>
              <w:rPr>
                <w:sz w:val="22"/>
                <w:szCs w:val="22"/>
                <w:lang w:eastAsia="en-US"/>
              </w:rPr>
              <w:t>энергопринимающих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устройств потребителей электрической энергии</w:t>
            </w:r>
          </w:p>
        </w:tc>
      </w:tr>
      <w:tr w:rsidR="00CE629D" w:rsidTr="00744830">
        <w:trPr>
          <w:trHeight w:val="695"/>
        </w:trPr>
        <w:tc>
          <w:tcPr>
            <w:tcW w:w="1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29D" w:rsidRDefault="00CE629D">
            <w:pPr>
              <w:rPr>
                <w:b/>
                <w:bCs/>
                <w:lang w:eastAsia="en-US"/>
              </w:rPr>
            </w:pPr>
          </w:p>
        </w:tc>
        <w:tc>
          <w:tcPr>
            <w:tcW w:w="6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29D" w:rsidRDefault="00CE629D">
            <w:pPr>
              <w:rPr>
                <w:lang w:eastAsia="en-US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29D" w:rsidRDefault="00CE629D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29D" w:rsidRDefault="00CE629D" w:rsidP="007448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8.8. </w:t>
            </w:r>
            <w:r>
              <w:rPr>
                <w:sz w:val="22"/>
                <w:szCs w:val="22"/>
                <w:lang w:eastAsia="en-US"/>
              </w:rPr>
              <w:t>Заявитель возвращает в сетевую организацию один экземпляр подписанного со своей стороны акта о выполнении технических условий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D70" w:rsidRDefault="00CE629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Подписанный Акт о выполнении технических условий в письменной форме </w:t>
            </w:r>
            <w:proofErr w:type="gramStart"/>
            <w:r>
              <w:rPr>
                <w:sz w:val="22"/>
                <w:szCs w:val="22"/>
                <w:lang w:eastAsia="en-US"/>
              </w:rPr>
              <w:t>направляется  способом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, позволяющим подтвердить </w:t>
            </w:r>
          </w:p>
          <w:p w:rsidR="00CE629D" w:rsidRDefault="00406D70" w:rsidP="00406D7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ф</w:t>
            </w:r>
            <w:r w:rsidR="00CE629D">
              <w:rPr>
                <w:sz w:val="22"/>
                <w:szCs w:val="22"/>
                <w:lang w:eastAsia="en-US"/>
              </w:rPr>
              <w:t>акт получения, или выдаются заявителю в офисе</w:t>
            </w:r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29D" w:rsidRDefault="00CE629D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В течение 5 дней со дня получения подписанного сетевой организацией акта о выполнении технических условий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29D" w:rsidRDefault="00CE629D">
            <w:pPr>
              <w:autoSpaceDE w:val="0"/>
              <w:autoSpaceDN w:val="0"/>
              <w:adjustRightInd w:val="0"/>
              <w:spacing w:line="276" w:lineRule="auto"/>
              <w:ind w:left="-16" w:hanging="16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Пункты 88, 99 Правил технологического присоединения </w:t>
            </w:r>
            <w:proofErr w:type="spellStart"/>
            <w:r>
              <w:rPr>
                <w:sz w:val="22"/>
                <w:szCs w:val="22"/>
                <w:lang w:eastAsia="en-US"/>
              </w:rPr>
              <w:t>энергопринимающих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устройств потребителей электрической энергии</w:t>
            </w:r>
          </w:p>
        </w:tc>
      </w:tr>
      <w:tr w:rsidR="00CE629D" w:rsidTr="00744830">
        <w:trPr>
          <w:trHeight w:val="151"/>
        </w:trPr>
        <w:tc>
          <w:tcPr>
            <w:tcW w:w="1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29D" w:rsidRDefault="00CE629D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6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29D" w:rsidRDefault="00CE629D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Присоединение объектов заявителя и подписание актов, </w:t>
            </w:r>
            <w:proofErr w:type="gramStart"/>
            <w:r>
              <w:rPr>
                <w:sz w:val="22"/>
                <w:szCs w:val="22"/>
                <w:lang w:eastAsia="en-US"/>
              </w:rPr>
              <w:t>подтверждающих  технологическое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присоединение</w:t>
            </w:r>
          </w:p>
        </w:tc>
        <w:tc>
          <w:tcPr>
            <w:tcW w:w="7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29D" w:rsidRDefault="00CE629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29D" w:rsidRDefault="00CE629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9.1.</w:t>
            </w:r>
            <w:r>
              <w:rPr>
                <w:sz w:val="22"/>
                <w:szCs w:val="22"/>
                <w:lang w:eastAsia="en-US"/>
              </w:rPr>
              <w:t> Фактическое присоединение объектов заявителя и включение коммутационного аппарата (фиксация коммутационного аппарата в положении "включено").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29D" w:rsidRDefault="00CE629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29D" w:rsidRDefault="00CE629D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 соответствии с условиями договора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29D" w:rsidRDefault="00CE629D">
            <w:pPr>
              <w:autoSpaceDE w:val="0"/>
              <w:autoSpaceDN w:val="0"/>
              <w:adjustRightInd w:val="0"/>
              <w:spacing w:line="276" w:lineRule="auto"/>
              <w:ind w:left="-16" w:hanging="16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Пункты 7, 18 Правил технологического присоединения </w:t>
            </w:r>
            <w:proofErr w:type="spellStart"/>
            <w:r>
              <w:rPr>
                <w:sz w:val="22"/>
                <w:szCs w:val="22"/>
                <w:lang w:eastAsia="en-US"/>
              </w:rPr>
              <w:t>энергопринимающих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устройств потребителей электрической энергии</w:t>
            </w:r>
          </w:p>
        </w:tc>
      </w:tr>
      <w:tr w:rsidR="00CE629D" w:rsidTr="00744830">
        <w:trPr>
          <w:trHeight w:val="270"/>
        </w:trPr>
        <w:tc>
          <w:tcPr>
            <w:tcW w:w="1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29D" w:rsidRDefault="00CE629D">
            <w:pPr>
              <w:rPr>
                <w:b/>
                <w:bCs/>
                <w:lang w:eastAsia="en-US"/>
              </w:rPr>
            </w:pPr>
          </w:p>
        </w:tc>
        <w:tc>
          <w:tcPr>
            <w:tcW w:w="6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29D" w:rsidRDefault="00CE629D">
            <w:pPr>
              <w:rPr>
                <w:lang w:eastAsia="en-US"/>
              </w:rPr>
            </w:pPr>
          </w:p>
        </w:tc>
        <w:tc>
          <w:tcPr>
            <w:tcW w:w="7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29D" w:rsidRDefault="00CE629D">
            <w:pPr>
              <w:rPr>
                <w:lang w:eastAsia="en-US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29D" w:rsidRDefault="00CE629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9.2.</w:t>
            </w:r>
            <w:r>
              <w:rPr>
                <w:sz w:val="22"/>
                <w:szCs w:val="22"/>
                <w:lang w:eastAsia="en-US"/>
              </w:rPr>
              <w:t xml:space="preserve"> Оформление сетевой организации и направление (выдача) заявителю </w:t>
            </w:r>
          </w:p>
          <w:p w:rsidR="00CE629D" w:rsidRDefault="00CE629D" w:rsidP="007448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Акта об осуществлении технологического присоединения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29D" w:rsidRDefault="00CE629D" w:rsidP="00406D7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Подписанные со стороны сетевой организации </w:t>
            </w:r>
            <w:proofErr w:type="gramStart"/>
            <w:r>
              <w:rPr>
                <w:sz w:val="22"/>
                <w:szCs w:val="22"/>
                <w:lang w:eastAsia="en-US"/>
              </w:rPr>
              <w:t>Акт  в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письменной форме направляется способом, позволяющим подтвердить факт получения, или выдается заявителю в офисе</w:t>
            </w:r>
            <w:r w:rsidR="00406D70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29D" w:rsidRDefault="00CE629D" w:rsidP="00744830">
            <w:pPr>
              <w:autoSpaceDE w:val="0"/>
              <w:autoSpaceDN w:val="0"/>
              <w:adjustRightInd w:val="0"/>
              <w:spacing w:line="276" w:lineRule="auto"/>
              <w:ind w:firstLine="540"/>
              <w:jc w:val="both"/>
              <w:rPr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не позднее 3 рабочих дней после осуществления сетевой организацией фактического присоединения объектов электроэнергетики (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энергопринимающих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 устройств) заявителя к электрическим сетям и фактического приема (подачи) напряжения и мощности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29D" w:rsidRDefault="00CE629D">
            <w:pPr>
              <w:autoSpaceDE w:val="0"/>
              <w:autoSpaceDN w:val="0"/>
              <w:adjustRightInd w:val="0"/>
              <w:spacing w:line="276" w:lineRule="auto"/>
              <w:ind w:left="-16" w:hanging="16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Пункт 19 Правил технологического присоединения </w:t>
            </w:r>
            <w:proofErr w:type="spellStart"/>
            <w:r>
              <w:rPr>
                <w:sz w:val="22"/>
                <w:szCs w:val="22"/>
                <w:lang w:eastAsia="en-US"/>
              </w:rPr>
              <w:t>энергопринимающих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устройств потребителей электрической энергии</w:t>
            </w:r>
          </w:p>
        </w:tc>
      </w:tr>
      <w:tr w:rsidR="00CE629D" w:rsidTr="00744830">
        <w:trPr>
          <w:trHeight w:val="695"/>
        </w:trPr>
        <w:tc>
          <w:tcPr>
            <w:tcW w:w="1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29D" w:rsidRDefault="00CE629D">
            <w:pPr>
              <w:rPr>
                <w:b/>
                <w:bCs/>
                <w:lang w:eastAsia="en-US"/>
              </w:rPr>
            </w:pPr>
          </w:p>
        </w:tc>
        <w:tc>
          <w:tcPr>
            <w:tcW w:w="6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29D" w:rsidRDefault="00CE629D">
            <w:pPr>
              <w:rPr>
                <w:lang w:eastAsia="en-US"/>
              </w:rPr>
            </w:pPr>
          </w:p>
        </w:tc>
        <w:tc>
          <w:tcPr>
            <w:tcW w:w="7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29D" w:rsidRDefault="00CE629D">
            <w:pPr>
              <w:rPr>
                <w:lang w:eastAsia="en-US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29D" w:rsidRDefault="00CE629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9.3. Оформление акта согласования технологической и (или) аварийной брони</w:t>
            </w:r>
          </w:p>
          <w:p w:rsidR="00CE629D" w:rsidRDefault="00CE629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29D" w:rsidRDefault="00CE629D" w:rsidP="00406D70">
            <w:pPr>
              <w:autoSpaceDE w:val="0"/>
              <w:autoSpaceDN w:val="0"/>
              <w:adjustRightInd w:val="0"/>
              <w:spacing w:line="276" w:lineRule="auto"/>
              <w:outlineLvl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Подписанные со стороны сетевой организации </w:t>
            </w:r>
            <w:proofErr w:type="gramStart"/>
            <w:r>
              <w:rPr>
                <w:sz w:val="22"/>
                <w:szCs w:val="22"/>
                <w:lang w:eastAsia="en-US"/>
              </w:rPr>
              <w:lastRenderedPageBreak/>
              <w:t>Акты  в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письменной форме направляются способом, позволяющим подтвердить факт получения, или выдаются заявителю в офисе</w:t>
            </w:r>
            <w:r w:rsidR="00406D70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29D" w:rsidRDefault="00CE629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По окончании осуществления мероприятий по </w:t>
            </w: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технологическому присоединению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29D" w:rsidRDefault="00CE629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Пункт 19 Правил технологического присоединения </w:t>
            </w:r>
            <w:proofErr w:type="spellStart"/>
            <w:r>
              <w:rPr>
                <w:sz w:val="22"/>
                <w:szCs w:val="22"/>
                <w:lang w:eastAsia="en-US"/>
              </w:rPr>
              <w:lastRenderedPageBreak/>
              <w:t>энергопринимающих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устройств потребителей электрической энергии </w:t>
            </w:r>
          </w:p>
        </w:tc>
      </w:tr>
      <w:tr w:rsidR="00CE629D" w:rsidTr="00744830">
        <w:trPr>
          <w:trHeight w:val="695"/>
        </w:trPr>
        <w:tc>
          <w:tcPr>
            <w:tcW w:w="1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29D" w:rsidRDefault="00CE629D">
            <w:pPr>
              <w:rPr>
                <w:b/>
                <w:bCs/>
                <w:lang w:eastAsia="en-US"/>
              </w:rPr>
            </w:pPr>
          </w:p>
        </w:tc>
        <w:tc>
          <w:tcPr>
            <w:tcW w:w="6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29D" w:rsidRDefault="00CE629D">
            <w:pPr>
              <w:rPr>
                <w:lang w:eastAsia="en-US"/>
              </w:rPr>
            </w:pPr>
          </w:p>
        </w:tc>
        <w:tc>
          <w:tcPr>
            <w:tcW w:w="7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29D" w:rsidRDefault="00CE629D">
            <w:pPr>
              <w:rPr>
                <w:lang w:eastAsia="en-US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29D" w:rsidRDefault="00CE629D" w:rsidP="007448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9.4.</w:t>
            </w:r>
            <w:r>
              <w:rPr>
                <w:sz w:val="22"/>
                <w:szCs w:val="22"/>
                <w:lang w:eastAsia="en-US"/>
              </w:rPr>
              <w:t xml:space="preserve"> Направление сетевой организацией подписанных с заявителем актов в </w:t>
            </w:r>
            <w:proofErr w:type="spellStart"/>
            <w:r>
              <w:rPr>
                <w:sz w:val="22"/>
                <w:szCs w:val="22"/>
                <w:lang w:eastAsia="en-US"/>
              </w:rPr>
              <w:t>энергосбытовую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организацию 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29D" w:rsidRDefault="00CE629D">
            <w:pPr>
              <w:autoSpaceDE w:val="0"/>
              <w:autoSpaceDN w:val="0"/>
              <w:adjustRightInd w:val="0"/>
              <w:spacing w:line="276" w:lineRule="auto"/>
              <w:outlineLvl w:val="0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 письменной или электронной форме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29D" w:rsidRDefault="00CE629D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 течение 2 рабочих дней после предоставления </w:t>
            </w:r>
            <w:proofErr w:type="gramStart"/>
            <w:r>
              <w:rPr>
                <w:sz w:val="22"/>
                <w:szCs w:val="22"/>
                <w:lang w:eastAsia="en-US"/>
              </w:rPr>
              <w:t>подписанных  заявителем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актов в сетевую организацию.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29D" w:rsidRDefault="00CE629D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Пункт 19 (1) Правил технологического присоединения </w:t>
            </w:r>
            <w:proofErr w:type="spellStart"/>
            <w:r>
              <w:rPr>
                <w:sz w:val="22"/>
                <w:szCs w:val="22"/>
                <w:lang w:eastAsia="en-US"/>
              </w:rPr>
              <w:t>энергопринимающих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устройств потребителей электрической энергии</w:t>
            </w:r>
          </w:p>
        </w:tc>
      </w:tr>
    </w:tbl>
    <w:p w:rsidR="00BA29D9" w:rsidRPr="00CF4E08" w:rsidRDefault="00BA29D9" w:rsidP="00BA29D9">
      <w:pPr>
        <w:autoSpaceDE w:val="0"/>
        <w:autoSpaceDN w:val="0"/>
        <w:adjustRightInd w:val="0"/>
        <w:spacing w:before="120"/>
        <w:ind w:firstLine="539"/>
        <w:jc w:val="both"/>
        <w:rPr>
          <w:b/>
          <w:sz w:val="26"/>
          <w:szCs w:val="26"/>
        </w:rPr>
      </w:pPr>
      <w:r w:rsidRPr="00CF4E08">
        <w:rPr>
          <w:b/>
          <w:sz w:val="26"/>
          <w:szCs w:val="26"/>
        </w:rPr>
        <w:t xml:space="preserve">Форма и способ подачи заявки: </w:t>
      </w:r>
    </w:p>
    <w:p w:rsidR="00406D70" w:rsidRPr="00336022" w:rsidRDefault="00406D70" w:rsidP="00406D70">
      <w:pPr>
        <w:pStyle w:val="a3"/>
        <w:numPr>
          <w:ilvl w:val="0"/>
          <w:numId w:val="7"/>
        </w:numPr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336022">
        <w:rPr>
          <w:sz w:val="26"/>
          <w:szCs w:val="26"/>
        </w:rPr>
        <w:t>письмом;</w:t>
      </w:r>
    </w:p>
    <w:p w:rsidR="00406D70" w:rsidRDefault="00406D70" w:rsidP="00406D70">
      <w:pPr>
        <w:pStyle w:val="a3"/>
        <w:numPr>
          <w:ilvl w:val="0"/>
          <w:numId w:val="7"/>
        </w:numPr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336022">
        <w:rPr>
          <w:sz w:val="26"/>
          <w:szCs w:val="26"/>
        </w:rPr>
        <w:t xml:space="preserve">лично или через уполномоченного представителя в </w:t>
      </w:r>
      <w:r>
        <w:rPr>
          <w:sz w:val="26"/>
          <w:szCs w:val="26"/>
          <w:lang w:val="ru-RU"/>
        </w:rPr>
        <w:t>офис</w:t>
      </w:r>
      <w:r w:rsidRPr="00336022">
        <w:rPr>
          <w:sz w:val="26"/>
          <w:szCs w:val="26"/>
        </w:rPr>
        <w:t>;</w:t>
      </w:r>
    </w:p>
    <w:p w:rsidR="00BA29D9" w:rsidRPr="00406D70" w:rsidRDefault="00406D70" w:rsidP="00406D70">
      <w:pPr>
        <w:pStyle w:val="a3"/>
        <w:numPr>
          <w:ilvl w:val="0"/>
          <w:numId w:val="7"/>
        </w:numPr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  <w:lang w:val="ru-RU"/>
        </w:rPr>
        <w:t>электронная почта.</w:t>
      </w:r>
    </w:p>
    <w:p w:rsidR="00755168" w:rsidRPr="00755168" w:rsidRDefault="00755168" w:rsidP="00755168">
      <w:pPr>
        <w:pStyle w:val="a3"/>
        <w:numPr>
          <w:ilvl w:val="0"/>
          <w:numId w:val="7"/>
        </w:numPr>
        <w:autoSpaceDE w:val="0"/>
        <w:autoSpaceDN w:val="0"/>
        <w:adjustRightInd w:val="0"/>
        <w:spacing w:before="120"/>
        <w:jc w:val="both"/>
        <w:rPr>
          <w:sz w:val="26"/>
          <w:szCs w:val="26"/>
        </w:rPr>
      </w:pPr>
      <w:r w:rsidRPr="00755168">
        <w:rPr>
          <w:b/>
          <w:sz w:val="26"/>
          <w:szCs w:val="26"/>
        </w:rPr>
        <w:t>Контактная информация для направления обращений:</w:t>
      </w:r>
      <w:r w:rsidRPr="00755168">
        <w:rPr>
          <w:sz w:val="26"/>
          <w:szCs w:val="26"/>
        </w:rPr>
        <w:t xml:space="preserve"> </w:t>
      </w:r>
    </w:p>
    <w:p w:rsidR="00406D70" w:rsidRPr="0062083F" w:rsidRDefault="00406D70" w:rsidP="00406D70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60"/>
        <w:jc w:val="both"/>
      </w:pPr>
      <w:r w:rsidRPr="00D045EB">
        <w:rPr>
          <w:sz w:val="26"/>
          <w:szCs w:val="26"/>
        </w:rPr>
        <w:t>Единый телефонный номер</w:t>
      </w:r>
      <w:r w:rsidRPr="0082370B">
        <w:t xml:space="preserve"> </w:t>
      </w:r>
      <w:r w:rsidRPr="0062083F">
        <w:rPr>
          <w:b/>
        </w:rPr>
        <w:t>8-800-</w:t>
      </w:r>
      <w:r>
        <w:rPr>
          <w:b/>
          <w:lang w:val="ru-RU"/>
        </w:rPr>
        <w:t>234</w:t>
      </w:r>
      <w:r w:rsidRPr="0062083F">
        <w:rPr>
          <w:b/>
        </w:rPr>
        <w:t>-</w:t>
      </w:r>
      <w:r>
        <w:rPr>
          <w:b/>
          <w:lang w:val="ru-RU"/>
        </w:rPr>
        <w:t>13</w:t>
      </w:r>
      <w:r>
        <w:rPr>
          <w:b/>
        </w:rPr>
        <w:t>-49</w:t>
      </w:r>
    </w:p>
    <w:p w:rsidR="00406D70" w:rsidRPr="00011070" w:rsidRDefault="00406D70" w:rsidP="00406D70">
      <w:pPr>
        <w:pStyle w:val="a3"/>
        <w:numPr>
          <w:ilvl w:val="0"/>
          <w:numId w:val="7"/>
        </w:numPr>
        <w:autoSpaceDE w:val="0"/>
        <w:autoSpaceDN w:val="0"/>
        <w:adjustRightInd w:val="0"/>
        <w:spacing w:before="120"/>
        <w:jc w:val="both"/>
      </w:pPr>
      <w:r w:rsidRPr="00011070">
        <w:rPr>
          <w:sz w:val="26"/>
          <w:szCs w:val="26"/>
        </w:rPr>
        <w:t xml:space="preserve">Адрес электронной почты </w:t>
      </w:r>
      <w:r>
        <w:rPr>
          <w:sz w:val="26"/>
          <w:szCs w:val="26"/>
          <w:lang w:val="ru-RU"/>
        </w:rPr>
        <w:t>ООО «НЭСК»</w:t>
      </w:r>
      <w:r w:rsidRPr="00011070">
        <w:rPr>
          <w:sz w:val="26"/>
          <w:szCs w:val="26"/>
        </w:rPr>
        <w:t xml:space="preserve"> </w:t>
      </w:r>
      <w:hyperlink r:id="rId9" w:history="1">
        <w:r w:rsidRPr="00096C99">
          <w:rPr>
            <w:rStyle w:val="a5"/>
            <w:sz w:val="26"/>
            <w:szCs w:val="26"/>
            <w:lang w:val="en-US"/>
          </w:rPr>
          <w:t>secrt</w:t>
        </w:r>
        <w:r w:rsidRPr="00011070">
          <w:rPr>
            <w:rStyle w:val="a5"/>
            <w:sz w:val="26"/>
            <w:szCs w:val="26"/>
            <w:lang w:val="ru-RU"/>
          </w:rPr>
          <w:t>@</w:t>
        </w:r>
        <w:r w:rsidRPr="00096C99">
          <w:rPr>
            <w:rStyle w:val="a5"/>
            <w:sz w:val="26"/>
            <w:szCs w:val="26"/>
            <w:lang w:val="en-US"/>
          </w:rPr>
          <w:t>ne</w:t>
        </w:r>
        <w:r w:rsidRPr="00011070">
          <w:rPr>
            <w:rStyle w:val="a5"/>
            <w:sz w:val="26"/>
            <w:szCs w:val="26"/>
            <w:lang w:val="ru-RU"/>
          </w:rPr>
          <w:t>-</w:t>
        </w:r>
        <w:r w:rsidRPr="00096C99">
          <w:rPr>
            <w:rStyle w:val="a5"/>
            <w:sz w:val="26"/>
            <w:szCs w:val="26"/>
            <w:lang w:val="en-US"/>
          </w:rPr>
          <w:t>sk</w:t>
        </w:r>
        <w:r w:rsidRPr="00011070">
          <w:rPr>
            <w:rStyle w:val="a5"/>
            <w:sz w:val="26"/>
            <w:szCs w:val="26"/>
            <w:lang w:val="ru-RU"/>
          </w:rPr>
          <w:t>.</w:t>
        </w:r>
        <w:r w:rsidRPr="00096C99">
          <w:rPr>
            <w:rStyle w:val="a5"/>
            <w:sz w:val="26"/>
            <w:szCs w:val="26"/>
            <w:lang w:val="en-US"/>
          </w:rPr>
          <w:t>ru</w:t>
        </w:r>
      </w:hyperlink>
      <w:r>
        <w:rPr>
          <w:rStyle w:val="a5"/>
          <w:sz w:val="26"/>
          <w:szCs w:val="26"/>
          <w:lang w:val="ru-RU"/>
        </w:rPr>
        <w:t xml:space="preserve">, </w:t>
      </w:r>
      <w:r>
        <w:rPr>
          <w:rStyle w:val="a5"/>
          <w:sz w:val="26"/>
          <w:szCs w:val="26"/>
          <w:lang w:val="en-US"/>
        </w:rPr>
        <w:t>tech</w:t>
      </w:r>
      <w:r w:rsidRPr="00931F52">
        <w:rPr>
          <w:rStyle w:val="a5"/>
          <w:sz w:val="26"/>
          <w:szCs w:val="26"/>
          <w:lang w:val="ru-RU"/>
        </w:rPr>
        <w:t>.</w:t>
      </w:r>
      <w:r>
        <w:rPr>
          <w:rStyle w:val="a5"/>
          <w:sz w:val="26"/>
          <w:szCs w:val="26"/>
          <w:lang w:val="en-US"/>
        </w:rPr>
        <w:t>pris</w:t>
      </w:r>
      <w:r w:rsidRPr="00931F52">
        <w:rPr>
          <w:rStyle w:val="a5"/>
          <w:sz w:val="26"/>
          <w:szCs w:val="26"/>
          <w:lang w:val="ru-RU"/>
        </w:rPr>
        <w:t>@</w:t>
      </w:r>
      <w:r>
        <w:rPr>
          <w:rStyle w:val="a5"/>
          <w:sz w:val="26"/>
          <w:szCs w:val="26"/>
          <w:lang w:val="en-US"/>
        </w:rPr>
        <w:t>ne</w:t>
      </w:r>
      <w:r w:rsidRPr="00931F52">
        <w:rPr>
          <w:rStyle w:val="a5"/>
          <w:sz w:val="26"/>
          <w:szCs w:val="26"/>
          <w:lang w:val="ru-RU"/>
        </w:rPr>
        <w:t>-</w:t>
      </w:r>
      <w:r>
        <w:rPr>
          <w:rStyle w:val="a5"/>
          <w:sz w:val="26"/>
          <w:szCs w:val="26"/>
          <w:lang w:val="en-US"/>
        </w:rPr>
        <w:t>sk</w:t>
      </w:r>
      <w:r w:rsidRPr="00931F52">
        <w:rPr>
          <w:rStyle w:val="a5"/>
          <w:sz w:val="26"/>
          <w:szCs w:val="26"/>
          <w:lang w:val="ru-RU"/>
        </w:rPr>
        <w:t>.</w:t>
      </w:r>
      <w:r>
        <w:rPr>
          <w:rStyle w:val="a5"/>
          <w:sz w:val="26"/>
          <w:szCs w:val="26"/>
          <w:lang w:val="en-US"/>
        </w:rPr>
        <w:t>ru</w:t>
      </w:r>
    </w:p>
    <w:p w:rsidR="00406D70" w:rsidRPr="00D045EB" w:rsidRDefault="00406D70" w:rsidP="00406D70">
      <w:pPr>
        <w:pStyle w:val="a3"/>
        <w:numPr>
          <w:ilvl w:val="0"/>
          <w:numId w:val="7"/>
        </w:numPr>
        <w:autoSpaceDE w:val="0"/>
        <w:autoSpaceDN w:val="0"/>
        <w:adjustRightInd w:val="0"/>
        <w:spacing w:before="120"/>
        <w:jc w:val="both"/>
        <w:rPr>
          <w:sz w:val="26"/>
          <w:szCs w:val="26"/>
        </w:rPr>
      </w:pPr>
      <w:r w:rsidRPr="003A07A8">
        <w:rPr>
          <w:sz w:val="26"/>
          <w:szCs w:val="26"/>
          <w:lang w:val="ru-RU"/>
        </w:rPr>
        <w:t>Почтовый и фактический адрес</w:t>
      </w:r>
      <w:r w:rsidRPr="00011070">
        <w:rPr>
          <w:sz w:val="26"/>
          <w:szCs w:val="26"/>
        </w:rPr>
        <w:t xml:space="preserve">: </w:t>
      </w:r>
      <w:r w:rsidRPr="00011070">
        <w:rPr>
          <w:sz w:val="26"/>
          <w:szCs w:val="26"/>
          <w:shd w:val="clear" w:color="auto" w:fill="FFFFFF"/>
        </w:rPr>
        <w:t>603004 г. Нижний Новгород, пр. Ленина, 114а</w:t>
      </w:r>
      <w:r>
        <w:rPr>
          <w:sz w:val="26"/>
          <w:szCs w:val="26"/>
          <w:shd w:val="clear" w:color="auto" w:fill="FFFFFF"/>
          <w:lang w:val="ru-RU"/>
        </w:rPr>
        <w:t>.</w:t>
      </w:r>
      <w:bookmarkStart w:id="13" w:name="_GoBack"/>
      <w:bookmarkEnd w:id="13"/>
    </w:p>
    <w:p w:rsidR="00755168" w:rsidRPr="00CE629D" w:rsidRDefault="00755168" w:rsidP="00406D70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60"/>
        <w:jc w:val="both"/>
      </w:pPr>
    </w:p>
    <w:sectPr w:rsidR="00755168" w:rsidRPr="00CE629D" w:rsidSect="00136CFB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27CF" w:rsidRDefault="002127CF" w:rsidP="00136CFB">
      <w:r>
        <w:separator/>
      </w:r>
    </w:p>
  </w:endnote>
  <w:endnote w:type="continuationSeparator" w:id="0">
    <w:p w:rsidR="002127CF" w:rsidRDefault="002127CF" w:rsidP="00136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27CF" w:rsidRDefault="002127CF" w:rsidP="00136CFB">
      <w:r>
        <w:separator/>
      </w:r>
    </w:p>
  </w:footnote>
  <w:footnote w:type="continuationSeparator" w:id="0">
    <w:p w:rsidR="002127CF" w:rsidRDefault="002127CF" w:rsidP="00136CFB">
      <w:r>
        <w:continuationSeparator/>
      </w:r>
    </w:p>
  </w:footnote>
  <w:footnote w:id="1">
    <w:p w:rsidR="00CE629D" w:rsidRDefault="00CE629D" w:rsidP="00CE629D">
      <w:pPr>
        <w:pStyle w:val="af"/>
        <w:jc w:val="both"/>
      </w:pPr>
      <w:r>
        <w:rPr>
          <w:rStyle w:val="a6"/>
        </w:rPr>
        <w:footnoteRef/>
      </w:r>
      <w:r>
        <w:t xml:space="preserve"> Правила технологического присоединения </w:t>
      </w:r>
      <w:proofErr w:type="spellStart"/>
      <w:r>
        <w:t>энергопринимающих</w:t>
      </w:r>
      <w:proofErr w:type="spellEnd"/>
      <w:r>
        <w:t xml:space="preserve">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сетям, утвержденные постановлением Правительства Российской Федерации от 27.12.2004 №861</w:t>
      </w:r>
    </w:p>
  </w:footnote>
  <w:footnote w:id="2">
    <w:p w:rsidR="00CE629D" w:rsidRDefault="00CE629D" w:rsidP="00CE629D">
      <w:pPr>
        <w:autoSpaceDE w:val="0"/>
        <w:autoSpaceDN w:val="0"/>
        <w:adjustRightInd w:val="0"/>
        <w:jc w:val="both"/>
      </w:pPr>
      <w:r>
        <w:rPr>
          <w:rStyle w:val="a6"/>
        </w:rPr>
        <w:footnoteRef/>
      </w:r>
      <w:r>
        <w:t xml:space="preserve"> Основы функционирования розничных рынков электрической энергии, утвержденные постановлением Правительства РФ от 04.05.2012 № 442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5F71C1"/>
    <w:multiLevelType w:val="hybridMultilevel"/>
    <w:tmpl w:val="83689624"/>
    <w:lvl w:ilvl="0" w:tplc="02D4E582">
      <w:start w:val="1"/>
      <w:numFmt w:val="bullet"/>
      <w:lvlText w:val=""/>
      <w:lvlJc w:val="left"/>
      <w:pPr>
        <w:ind w:left="89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" w15:restartNumberingAfterBreak="0">
    <w:nsid w:val="231C11D9"/>
    <w:multiLevelType w:val="hybridMultilevel"/>
    <w:tmpl w:val="E4D8CA8C"/>
    <w:lvl w:ilvl="0" w:tplc="76F2A5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2E5874"/>
    <w:multiLevelType w:val="multilevel"/>
    <w:tmpl w:val="A81E27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ascii="Times New Roman" w:hAnsi="Times New Roman" w:cs="Times New Roman" w:hint="default"/>
        <w:b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3" w15:restartNumberingAfterBreak="0">
    <w:nsid w:val="3D4C46FD"/>
    <w:multiLevelType w:val="hybridMultilevel"/>
    <w:tmpl w:val="B586869C"/>
    <w:lvl w:ilvl="0" w:tplc="74BE065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DE95BA3"/>
    <w:multiLevelType w:val="hybridMultilevel"/>
    <w:tmpl w:val="05C46908"/>
    <w:lvl w:ilvl="0" w:tplc="F59CF4A6">
      <w:start w:val="1"/>
      <w:numFmt w:val="lowerLetter"/>
      <w:lvlText w:val="%1)"/>
      <w:lvlJc w:val="left"/>
      <w:pPr>
        <w:ind w:left="1440" w:hanging="360"/>
      </w:pPr>
      <w:rPr>
        <w:rFonts w:eastAsia="Times New Roman" w:hint="default"/>
        <w:b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90341B4"/>
    <w:multiLevelType w:val="hybridMultilevel"/>
    <w:tmpl w:val="A7783932"/>
    <w:lvl w:ilvl="0" w:tplc="02D4E58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520C6096"/>
    <w:multiLevelType w:val="hybridMultilevel"/>
    <w:tmpl w:val="6C765920"/>
    <w:lvl w:ilvl="0" w:tplc="02D4E582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58350F1"/>
    <w:multiLevelType w:val="hybridMultilevel"/>
    <w:tmpl w:val="E36EAC5A"/>
    <w:lvl w:ilvl="0" w:tplc="41F2695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57D54A87"/>
    <w:multiLevelType w:val="hybridMultilevel"/>
    <w:tmpl w:val="2A5C5D10"/>
    <w:lvl w:ilvl="0" w:tplc="A7DAC14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1"/>
  </w:num>
  <w:num w:numId="7">
    <w:abstractNumId w:val="6"/>
  </w:num>
  <w:num w:numId="8">
    <w:abstractNumId w:val="7"/>
  </w:num>
  <w:num w:numId="9">
    <w:abstractNumId w:val="8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CFB"/>
    <w:rsid w:val="00075215"/>
    <w:rsid w:val="00136CFB"/>
    <w:rsid w:val="002127CF"/>
    <w:rsid w:val="00274BF0"/>
    <w:rsid w:val="00406D70"/>
    <w:rsid w:val="00433FA7"/>
    <w:rsid w:val="00471F66"/>
    <w:rsid w:val="004C7ACF"/>
    <w:rsid w:val="004E37B3"/>
    <w:rsid w:val="005141C6"/>
    <w:rsid w:val="005E0BA4"/>
    <w:rsid w:val="00610B51"/>
    <w:rsid w:val="0062328C"/>
    <w:rsid w:val="006778E3"/>
    <w:rsid w:val="00690838"/>
    <w:rsid w:val="006F5A72"/>
    <w:rsid w:val="0072371F"/>
    <w:rsid w:val="007320C7"/>
    <w:rsid w:val="00744830"/>
    <w:rsid w:val="00755168"/>
    <w:rsid w:val="0077433A"/>
    <w:rsid w:val="00827FD9"/>
    <w:rsid w:val="00863D88"/>
    <w:rsid w:val="00BA0897"/>
    <w:rsid w:val="00BA29D9"/>
    <w:rsid w:val="00CE629D"/>
    <w:rsid w:val="00D05371"/>
    <w:rsid w:val="00D20929"/>
    <w:rsid w:val="00E52099"/>
    <w:rsid w:val="00E60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976BFE-A267-452C-AA18-72D531008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6C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36CFB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36CFB"/>
    <w:rPr>
      <w:rFonts w:ascii="Cambria" w:eastAsia="Times New Roman" w:hAnsi="Cambria" w:cs="Times New Roman"/>
      <w:b/>
      <w:bCs/>
      <w:color w:val="365F91"/>
      <w:sz w:val="28"/>
      <w:szCs w:val="28"/>
      <w:lang w:val="x-none" w:eastAsia="ru-RU"/>
    </w:rPr>
  </w:style>
  <w:style w:type="paragraph" w:styleId="a3">
    <w:name w:val="List Paragraph"/>
    <w:basedOn w:val="a"/>
    <w:link w:val="a4"/>
    <w:uiPriority w:val="34"/>
    <w:qFormat/>
    <w:rsid w:val="00136CFB"/>
    <w:pPr>
      <w:ind w:left="720"/>
      <w:contextualSpacing/>
    </w:pPr>
    <w:rPr>
      <w:lang w:val="x-none"/>
    </w:rPr>
  </w:style>
  <w:style w:type="character" w:customStyle="1" w:styleId="a4">
    <w:name w:val="Абзац списка Знак"/>
    <w:link w:val="a3"/>
    <w:uiPriority w:val="34"/>
    <w:locked/>
    <w:rsid w:val="00136CFB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styleId="a5">
    <w:name w:val="Hyperlink"/>
    <w:uiPriority w:val="99"/>
    <w:unhideWhenUsed/>
    <w:rsid w:val="00136CFB"/>
    <w:rPr>
      <w:color w:val="0000FF"/>
      <w:u w:val="single"/>
    </w:rPr>
  </w:style>
  <w:style w:type="character" w:styleId="a6">
    <w:name w:val="footnote reference"/>
    <w:unhideWhenUsed/>
    <w:rsid w:val="00136CFB"/>
    <w:rPr>
      <w:vertAlign w:val="superscript"/>
    </w:rPr>
  </w:style>
  <w:style w:type="character" w:styleId="a7">
    <w:name w:val="annotation reference"/>
    <w:basedOn w:val="a0"/>
    <w:uiPriority w:val="99"/>
    <w:semiHidden/>
    <w:unhideWhenUsed/>
    <w:rsid w:val="007320C7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320C7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320C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320C7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320C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7320C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320C7"/>
    <w:rPr>
      <w:rFonts w:ascii="Tahoma" w:eastAsia="Times New Roman" w:hAnsi="Tahoma" w:cs="Tahoma"/>
      <w:sz w:val="16"/>
      <w:szCs w:val="16"/>
      <w:lang w:eastAsia="ru-RU"/>
    </w:rPr>
  </w:style>
  <w:style w:type="character" w:styleId="ae">
    <w:name w:val="FollowedHyperlink"/>
    <w:basedOn w:val="a0"/>
    <w:uiPriority w:val="99"/>
    <w:semiHidden/>
    <w:unhideWhenUsed/>
    <w:rsid w:val="006778E3"/>
    <w:rPr>
      <w:color w:val="800080" w:themeColor="followedHyperlink"/>
      <w:u w:val="single"/>
    </w:rPr>
  </w:style>
  <w:style w:type="paragraph" w:styleId="af">
    <w:name w:val="footnote text"/>
    <w:basedOn w:val="a"/>
    <w:link w:val="af0"/>
    <w:unhideWhenUsed/>
    <w:rsid w:val="00827FD9"/>
    <w:rPr>
      <w:sz w:val="20"/>
      <w:szCs w:val="20"/>
      <w:lang w:val="x-none" w:eastAsia="x-none"/>
    </w:rPr>
  </w:style>
  <w:style w:type="character" w:customStyle="1" w:styleId="af0">
    <w:name w:val="Текст сноски Знак"/>
    <w:basedOn w:val="a0"/>
    <w:link w:val="af"/>
    <w:rsid w:val="00827FD9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ConsPlusNormal">
    <w:name w:val="ConsPlusNormal"/>
    <w:link w:val="ConsPlusNormal0"/>
    <w:rsid w:val="00BA29D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lang w:eastAsia="ru-RU"/>
    </w:rPr>
  </w:style>
  <w:style w:type="character" w:customStyle="1" w:styleId="ConsPlusNormal0">
    <w:name w:val="ConsPlusNormal Знак"/>
    <w:link w:val="ConsPlusNormal"/>
    <w:locked/>
    <w:rsid w:val="00BA29D9"/>
    <w:rPr>
      <w:rFonts w:ascii="Arial" w:eastAsia="Times New Roman" w:hAnsi="Arial" w:cs="Aria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E111A5B5095EE125EE200E513B9061071F5540C5EC9F281248AB5EA8A5A20B361012ADB18yCw4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E111A5B5095EE125EE200E513B9061071F5540C5EC9F281248AB5EA8A5A20B361012ADB18yCw4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ecrt@ne-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17</Pages>
  <Words>3404</Words>
  <Characters>19404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Морозова Елена Анатольевна</dc:creator>
  <cp:lastModifiedBy>user</cp:lastModifiedBy>
  <cp:revision>4</cp:revision>
  <dcterms:created xsi:type="dcterms:W3CDTF">2021-06-03T04:27:00Z</dcterms:created>
  <dcterms:modified xsi:type="dcterms:W3CDTF">2021-06-04T11:35:00Z</dcterms:modified>
</cp:coreProperties>
</file>